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96968C" w14:textId="347242C1" w:rsidR="00E236E0" w:rsidRDefault="00D92AD1" w:rsidP="00E236E0">
      <w:pPr>
        <w:pStyle w:val="Heading1"/>
        <w:spacing w:before="0" w:line="240" w:lineRule="auto"/>
        <w:rPr>
          <w:rFonts w:ascii="Aptos" w:eastAsia="Times New Roman" w:hAnsi="Aptos" w:cstheme="minorHAnsi"/>
          <w:color w:val="1E4E79"/>
        </w:rPr>
      </w:pPr>
      <w:r>
        <w:rPr>
          <w:rFonts w:ascii="Aptos" w:hAnsi="Aptos"/>
          <w:noProof/>
          <w:color w:val="990000"/>
          <w:sz w:val="44"/>
          <w:szCs w:val="44"/>
        </w:rPr>
        <w:drawing>
          <wp:anchor distT="0" distB="0" distL="114300" distR="114300" simplePos="0" relativeHeight="251668480" behindDoc="0" locked="0" layoutInCell="1" allowOverlap="1" wp14:anchorId="279A7E08" wp14:editId="2D4127B5">
            <wp:simplePos x="0" y="0"/>
            <wp:positionH relativeFrom="column">
              <wp:posOffset>-1068705</wp:posOffset>
            </wp:positionH>
            <wp:positionV relativeFrom="paragraph">
              <wp:posOffset>-914024</wp:posOffset>
            </wp:positionV>
            <wp:extent cx="8043884" cy="1851660"/>
            <wp:effectExtent l="0" t="0" r="0" b="2540"/>
            <wp:wrapNone/>
            <wp:docPr id="1350865286" name="Picture 4" descr="A container yard with cranes and a sunset&#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0865286" name="Picture 4" descr="A container yard with cranes and a sunset&#10;"/>
                    <pic:cNvPicPr/>
                  </pic:nvPicPr>
                  <pic:blipFill rotWithShape="1">
                    <a:blip r:embed="rId11" cstate="print">
                      <a:extLst>
                        <a:ext uri="{28A0092B-C50C-407E-A947-70E740481C1C}">
                          <a14:useLocalDpi xmlns:a14="http://schemas.microsoft.com/office/drawing/2010/main" val="0"/>
                        </a:ext>
                      </a:extLst>
                    </a:blip>
                    <a:srcRect l="-1528" t="42045" r="5" b="22519"/>
                    <a:stretch>
                      <a:fillRect/>
                    </a:stretch>
                  </pic:blipFill>
                  <pic:spPr bwMode="auto">
                    <a:xfrm>
                      <a:off x="0" y="0"/>
                      <a:ext cx="8043884" cy="18516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61A63DB" w14:textId="554EC78E" w:rsidR="00E236E0" w:rsidRDefault="00E236E0" w:rsidP="00E236E0">
      <w:pPr>
        <w:pStyle w:val="Heading1"/>
        <w:spacing w:before="0" w:line="240" w:lineRule="auto"/>
        <w:rPr>
          <w:rFonts w:ascii="Aptos" w:eastAsia="Times New Roman" w:hAnsi="Aptos" w:cstheme="minorHAnsi"/>
          <w:color w:val="1E4E79"/>
        </w:rPr>
      </w:pPr>
    </w:p>
    <w:p w14:paraId="27175B61" w14:textId="52831029" w:rsidR="00E236E0" w:rsidRDefault="00E236E0" w:rsidP="00E236E0">
      <w:pPr>
        <w:pStyle w:val="Heading1"/>
        <w:spacing w:before="0" w:line="240" w:lineRule="auto"/>
        <w:rPr>
          <w:rFonts w:ascii="Aptos" w:eastAsia="Times New Roman" w:hAnsi="Aptos" w:cstheme="minorHAnsi"/>
          <w:color w:val="1E4E79"/>
        </w:rPr>
      </w:pPr>
    </w:p>
    <w:p w14:paraId="46196F88" w14:textId="5CFD0DED" w:rsidR="00E236E0" w:rsidRPr="00046EF6" w:rsidRDefault="00E236E0" w:rsidP="00E236E0">
      <w:pPr>
        <w:spacing w:after="0" w:line="240" w:lineRule="auto"/>
        <w:rPr>
          <w:rFonts w:ascii="Aptos" w:hAnsi="Aptos"/>
          <w:color w:val="990000"/>
          <w:sz w:val="44"/>
          <w:szCs w:val="44"/>
        </w:rPr>
      </w:pPr>
      <w:r w:rsidRPr="00046EF6">
        <w:rPr>
          <w:rFonts w:ascii="Aptos" w:hAnsi="Aptos"/>
          <w:color w:val="990000"/>
          <w:sz w:val="44"/>
          <w:szCs w:val="44"/>
        </w:rPr>
        <w:t>Most companies have not reported material changes to their risks since their 2025 annual report filings despite the dynamic political and economic environment</w:t>
      </w:r>
    </w:p>
    <w:p w14:paraId="58D87F55" w14:textId="77777777" w:rsidR="00E236E0" w:rsidRPr="00891D8F" w:rsidRDefault="00E236E0" w:rsidP="00E236E0">
      <w:pPr>
        <w:pStyle w:val="Heading1"/>
        <w:spacing w:before="0" w:line="240" w:lineRule="auto"/>
        <w:rPr>
          <w:rFonts w:ascii="Aptos" w:eastAsia="Times New Roman" w:hAnsi="Aptos" w:cstheme="minorHAnsi"/>
          <w:color w:val="1E4E79"/>
          <w:sz w:val="20"/>
          <w:szCs w:val="20"/>
        </w:rPr>
      </w:pPr>
    </w:p>
    <w:p w14:paraId="0499D24C" w14:textId="77777777" w:rsidR="00E236E0" w:rsidRPr="00891D8F" w:rsidRDefault="00E236E0" w:rsidP="00046EF6">
      <w:pPr>
        <w:spacing w:after="0"/>
        <w:rPr>
          <w:rFonts w:ascii="Aptos" w:hAnsi="Aptos"/>
        </w:rPr>
      </w:pPr>
      <w:r w:rsidRPr="00891D8F">
        <w:rPr>
          <w:rFonts w:ascii="Aptos" w:hAnsi="Aptos"/>
        </w:rPr>
        <w:t>OCTOBER 202</w:t>
      </w:r>
      <w:r>
        <w:rPr>
          <w:rFonts w:ascii="Aptos" w:hAnsi="Aptos"/>
        </w:rPr>
        <w:t>5</w:t>
      </w:r>
    </w:p>
    <w:p w14:paraId="1C256F19" w14:textId="77777777" w:rsidR="00E236E0" w:rsidRPr="00891D8F" w:rsidRDefault="00E236E0" w:rsidP="00046EF6">
      <w:pPr>
        <w:spacing w:after="0"/>
        <w:rPr>
          <w:rFonts w:ascii="Aptos" w:hAnsi="Aptos"/>
        </w:rPr>
      </w:pPr>
      <w:r w:rsidRPr="00891D8F">
        <w:rPr>
          <w:rFonts w:ascii="Aptos" w:hAnsi="Aptos"/>
        </w:rPr>
        <w:t xml:space="preserve">Deloitte* and </w:t>
      </w:r>
      <w:hyperlink r:id="rId12" w:history="1">
        <w:r w:rsidRPr="00891D8F">
          <w:rPr>
            <w:rStyle w:val="Hyperlink"/>
            <w:rFonts w:ascii="Aptos" w:hAnsi="Aptos"/>
          </w:rPr>
          <w:t>USC Marshall School of Business Peter Arkley Institute for Risk Management</w:t>
        </w:r>
      </w:hyperlink>
      <w:r w:rsidRPr="00891D8F">
        <w:rPr>
          <w:rFonts w:ascii="Aptos" w:hAnsi="Aptos"/>
        </w:rPr>
        <w:t>**</w:t>
      </w:r>
    </w:p>
    <w:p w14:paraId="6323E27A" w14:textId="77777777" w:rsidR="00E236E0" w:rsidRPr="00891D8F" w:rsidRDefault="00E236E0" w:rsidP="00E236E0">
      <w:pPr>
        <w:rPr>
          <w:rFonts w:ascii="Aptos" w:hAnsi="Aptos"/>
          <w:sz w:val="36"/>
          <w:szCs w:val="36"/>
        </w:rPr>
      </w:pPr>
      <w:r>
        <w:rPr>
          <w:noProof/>
        </w:rPr>
        <mc:AlternateContent>
          <mc:Choice Requires="wps">
            <w:drawing>
              <wp:anchor distT="0" distB="0" distL="114300" distR="114300" simplePos="0" relativeHeight="251660288" behindDoc="0" locked="0" layoutInCell="1" allowOverlap="1" wp14:anchorId="370525D5" wp14:editId="22795C2F">
                <wp:simplePos x="0" y="0"/>
                <wp:positionH relativeFrom="margin">
                  <wp:posOffset>0</wp:posOffset>
                </wp:positionH>
                <wp:positionV relativeFrom="paragraph">
                  <wp:posOffset>131445</wp:posOffset>
                </wp:positionV>
                <wp:extent cx="1760220" cy="121920"/>
                <wp:effectExtent l="0" t="0" r="0" b="0"/>
                <wp:wrapNone/>
                <wp:docPr id="1027745820" name="Rectangle 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1760220" cy="121920"/>
                        </a:xfrm>
                        <a:prstGeom prst="rect">
                          <a:avLst/>
                        </a:prstGeom>
                        <a:solidFill>
                          <a:srgbClr val="990000"/>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F8BCD5C" id="Rectangle 1" o:spid="_x0000_s1026" alt="&quot;&quot;" style="position:absolute;margin-left:0;margin-top:10.35pt;width:138.6pt;height:9.6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" fillcolor="#900" stroked="f" strokeweight="1pt">
                <w10:wrap anchorx="margin"/>
              </v:rect>
            </w:pict>
          </mc:Fallback>
        </mc:AlternateContent>
      </w:r>
    </w:p>
    <w:p w14:paraId="72B45EB3" w14:textId="38D101D9" w:rsidR="00E236E0" w:rsidRPr="00DF637D" w:rsidRDefault="00E236E0" w:rsidP="00046EF6">
      <w:pPr>
        <w:rPr>
          <w:rFonts w:ascii="Aptos" w:hAnsi="Aptos"/>
        </w:rPr>
      </w:pPr>
      <w:r w:rsidRPr="00DF637D">
        <w:rPr>
          <w:rFonts w:ascii="Aptos" w:hAnsi="Aptos"/>
        </w:rPr>
        <w:t xml:space="preserve">The pace of change in the external risk environment has been unrelenting over the past 12 months, as US </w:t>
      </w:r>
      <w:r w:rsidR="00555E70">
        <w:rPr>
          <w:rFonts w:ascii="Aptos" w:hAnsi="Aptos"/>
        </w:rPr>
        <w:t>companies</w:t>
      </w:r>
      <w:r w:rsidRPr="00DF637D">
        <w:rPr>
          <w:rFonts w:ascii="Aptos" w:hAnsi="Aptos"/>
        </w:rPr>
        <w:t xml:space="preserve"> have faced an unprecedented and highly dynamic set of external drivers impacting their businesses.  These drivers have included significant political and regulatory </w:t>
      </w:r>
      <w:r>
        <w:rPr>
          <w:rFonts w:ascii="Aptos" w:hAnsi="Aptos"/>
        </w:rPr>
        <w:t>shifts</w:t>
      </w:r>
      <w:r w:rsidRPr="00DF637D">
        <w:rPr>
          <w:rFonts w:ascii="Aptos" w:hAnsi="Aptos"/>
        </w:rPr>
        <w:t xml:space="preserve">, a complex </w:t>
      </w:r>
      <w:r>
        <w:rPr>
          <w:rFonts w:ascii="Aptos" w:hAnsi="Aptos"/>
        </w:rPr>
        <w:t>business</w:t>
      </w:r>
      <w:r w:rsidRPr="00DF637D">
        <w:rPr>
          <w:rFonts w:ascii="Aptos" w:hAnsi="Aptos"/>
        </w:rPr>
        <w:t xml:space="preserve"> environment combining low economic optimism and high i</w:t>
      </w:r>
      <w:r w:rsidR="00F4320B">
        <w:rPr>
          <w:rFonts w:ascii="Aptos" w:hAnsi="Aptos"/>
        </w:rPr>
        <w:t>n</w:t>
      </w:r>
      <w:r w:rsidRPr="00DF637D">
        <w:rPr>
          <w:rFonts w:ascii="Aptos" w:hAnsi="Aptos"/>
        </w:rPr>
        <w:t xml:space="preserve">terest rates with </w:t>
      </w:r>
      <w:proofErr w:type="gramStart"/>
      <w:r w:rsidRPr="00DF637D">
        <w:rPr>
          <w:rFonts w:ascii="Aptos" w:hAnsi="Aptos"/>
        </w:rPr>
        <w:t>fairly stable</w:t>
      </w:r>
      <w:proofErr w:type="gramEnd"/>
      <w:r w:rsidRPr="00DF637D">
        <w:rPr>
          <w:rFonts w:ascii="Aptos" w:hAnsi="Aptos"/>
        </w:rPr>
        <w:t xml:space="preserve"> economic growth and labor markets, ongoing and mutating global conflicts and other geopolitical challenges, and substantial </w:t>
      </w:r>
      <w:r>
        <w:rPr>
          <w:rFonts w:ascii="Aptos" w:hAnsi="Aptos"/>
        </w:rPr>
        <w:t>disruptions in</w:t>
      </w:r>
      <w:r w:rsidRPr="00DF637D">
        <w:rPr>
          <w:rFonts w:ascii="Aptos" w:hAnsi="Aptos"/>
        </w:rPr>
        <w:t xml:space="preserve"> the global trad</w:t>
      </w:r>
      <w:r w:rsidR="00F4320B">
        <w:rPr>
          <w:rFonts w:ascii="Aptos" w:hAnsi="Aptos"/>
        </w:rPr>
        <w:t>e</w:t>
      </w:r>
      <w:r w:rsidRPr="00DF637D">
        <w:rPr>
          <w:rFonts w:ascii="Aptos" w:hAnsi="Aptos"/>
        </w:rPr>
        <w:t xml:space="preserve"> environment.</w:t>
      </w:r>
    </w:p>
    <w:p w14:paraId="0CA1E6F3" w14:textId="77777777" w:rsidR="00E236E0" w:rsidRPr="00891D8F" w:rsidRDefault="00E236E0" w:rsidP="00046EF6">
      <w:pPr>
        <w:rPr>
          <w:rFonts w:ascii="Aptos" w:hAnsi="Aptos"/>
        </w:rPr>
      </w:pPr>
      <w:r w:rsidRPr="00891D8F">
        <w:rPr>
          <w:rFonts w:ascii="Aptos" w:hAnsi="Aptos"/>
        </w:rPr>
        <w:t>Deloitte and the USC Marshall School of Business Peter Arkley Institute for Risk Management (USC Marshall Peter Arkley Institute for Risk Management) have completed our f</w:t>
      </w:r>
      <w:r>
        <w:rPr>
          <w:rFonts w:ascii="Aptos" w:hAnsi="Aptos"/>
        </w:rPr>
        <w:t>ift</w:t>
      </w:r>
      <w:r w:rsidRPr="00891D8F">
        <w:rPr>
          <w:rFonts w:ascii="Aptos" w:hAnsi="Aptos"/>
        </w:rPr>
        <w:t xml:space="preserve">h year of analysis of annual risk factor disclosures of Standard &amp; Poor’s (S&amp;P) 500 </w:t>
      </w:r>
      <w:r w:rsidRPr="00D36FED">
        <w:rPr>
          <w:rFonts w:ascii="Aptos" w:hAnsi="Aptos"/>
        </w:rPr>
        <w:t xml:space="preserve">companies. </w:t>
      </w:r>
      <w:bookmarkStart w:id="0" w:name="_Hlk209278189"/>
      <w:r w:rsidRPr="00D36FED">
        <w:rPr>
          <w:rFonts w:ascii="Aptos" w:hAnsi="Aptos"/>
        </w:rPr>
        <w:t>Although</w:t>
      </w:r>
      <w:bookmarkEnd w:id="0"/>
      <w:r w:rsidRPr="008A0CEA">
        <w:rPr>
          <w:rFonts w:ascii="Aptos" w:hAnsi="Aptos"/>
        </w:rPr>
        <w:t xml:space="preserve"> the </w:t>
      </w:r>
      <w:r>
        <w:rPr>
          <w:rFonts w:ascii="Aptos" w:hAnsi="Aptos"/>
        </w:rPr>
        <w:t>Securities and Exchange Commission (</w:t>
      </w:r>
      <w:r w:rsidRPr="008A0CEA">
        <w:rPr>
          <w:rFonts w:ascii="Aptos" w:hAnsi="Aptos"/>
        </w:rPr>
        <w:t>SEC</w:t>
      </w:r>
      <w:r>
        <w:rPr>
          <w:rFonts w:ascii="Aptos" w:hAnsi="Aptos"/>
        </w:rPr>
        <w:t>)</w:t>
      </w:r>
      <w:r w:rsidRPr="008A0CEA">
        <w:rPr>
          <w:rFonts w:ascii="Aptos" w:hAnsi="Aptos"/>
        </w:rPr>
        <w:t xml:space="preserve"> sought to reduce the volume of risk factor disclosures in its 2020 risk reporting reforms</w:t>
      </w:r>
      <w:r>
        <w:rPr>
          <w:rFonts w:ascii="Aptos" w:hAnsi="Aptos"/>
        </w:rPr>
        <w:t>,</w:t>
      </w:r>
      <w:r w:rsidRPr="00D36FED">
        <w:rPr>
          <w:rStyle w:val="EndnoteReference"/>
          <w:rFonts w:ascii="Aptos" w:hAnsi="Aptos"/>
        </w:rPr>
        <w:endnoteReference w:id="1"/>
      </w:r>
      <w:r>
        <w:rPr>
          <w:rFonts w:ascii="Aptos" w:hAnsi="Aptos"/>
        </w:rPr>
        <w:t xml:space="preserve"> </w:t>
      </w:r>
      <w:r w:rsidRPr="00D36FED">
        <w:rPr>
          <w:rFonts w:ascii="Aptos" w:hAnsi="Aptos"/>
        </w:rPr>
        <w:t xml:space="preserve">companies </w:t>
      </w:r>
      <w:r>
        <w:rPr>
          <w:rFonts w:ascii="Aptos" w:hAnsi="Aptos"/>
        </w:rPr>
        <w:t>have provided lengthier</w:t>
      </w:r>
      <w:r w:rsidRPr="00D36FED">
        <w:rPr>
          <w:rFonts w:ascii="Aptos" w:hAnsi="Aptos"/>
        </w:rPr>
        <w:t xml:space="preserve"> risk factor disclosures</w:t>
      </w:r>
      <w:r>
        <w:rPr>
          <w:rFonts w:ascii="Aptos" w:hAnsi="Aptos"/>
        </w:rPr>
        <w:t xml:space="preserve"> this past reporting season reflecting</w:t>
      </w:r>
      <w:r w:rsidRPr="00D36FED">
        <w:rPr>
          <w:rFonts w:ascii="Aptos" w:hAnsi="Aptos"/>
        </w:rPr>
        <w:t xml:space="preserve"> th</w:t>
      </w:r>
      <w:r>
        <w:rPr>
          <w:rFonts w:ascii="Aptos" w:hAnsi="Aptos"/>
        </w:rPr>
        <w:t>is</w:t>
      </w:r>
      <w:r w:rsidRPr="00D36FED">
        <w:rPr>
          <w:rFonts w:ascii="Aptos" w:hAnsi="Aptos"/>
        </w:rPr>
        <w:t xml:space="preserve"> complex </w:t>
      </w:r>
      <w:r>
        <w:rPr>
          <w:rFonts w:ascii="Aptos" w:hAnsi="Aptos"/>
        </w:rPr>
        <w:t xml:space="preserve">and dynamic </w:t>
      </w:r>
      <w:r w:rsidRPr="00D36FED">
        <w:rPr>
          <w:rFonts w:ascii="Aptos" w:hAnsi="Aptos"/>
        </w:rPr>
        <w:t>environment.</w:t>
      </w:r>
      <w:r w:rsidRPr="00891D8F">
        <w:rPr>
          <w:rFonts w:ascii="Aptos" w:hAnsi="Aptos"/>
        </w:rPr>
        <w:t xml:space="preserve"> </w:t>
      </w:r>
    </w:p>
    <w:p w14:paraId="3A25BDBD" w14:textId="77777777" w:rsidR="00E236E0" w:rsidRDefault="00E236E0" w:rsidP="00046EF6">
      <w:pPr>
        <w:rPr>
          <w:rFonts w:ascii="Aptos" w:hAnsi="Aptos"/>
        </w:rPr>
      </w:pPr>
      <w:r w:rsidRPr="00891D8F">
        <w:rPr>
          <w:rFonts w:ascii="Aptos" w:hAnsi="Aptos"/>
        </w:rPr>
        <w:t xml:space="preserve">This year, we </w:t>
      </w:r>
      <w:r>
        <w:rPr>
          <w:rFonts w:ascii="Aptos" w:hAnsi="Aptos"/>
        </w:rPr>
        <w:t xml:space="preserve">also </w:t>
      </w:r>
      <w:r w:rsidRPr="00891D8F">
        <w:rPr>
          <w:rFonts w:ascii="Aptos" w:hAnsi="Aptos"/>
        </w:rPr>
        <w:t xml:space="preserve">conducted a </w:t>
      </w:r>
      <w:r>
        <w:rPr>
          <w:rFonts w:ascii="Aptos" w:hAnsi="Aptos"/>
        </w:rPr>
        <w:t>review of</w:t>
      </w:r>
      <w:r w:rsidRPr="00D36FED">
        <w:rPr>
          <w:rFonts w:ascii="Aptos" w:hAnsi="Aptos"/>
        </w:rPr>
        <w:t xml:space="preserve"> the f</w:t>
      </w:r>
      <w:bookmarkStart w:id="1" w:name="_Hlk209278488"/>
      <w:r w:rsidRPr="00D36FED">
        <w:rPr>
          <w:rFonts w:ascii="Aptos" w:hAnsi="Aptos"/>
        </w:rPr>
        <w:t>irst quarterly reports filed after April 2, 2025</w:t>
      </w:r>
      <w:r>
        <w:rPr>
          <w:rFonts w:ascii="Aptos" w:hAnsi="Aptos"/>
        </w:rPr>
        <w:t xml:space="preserve"> </w:t>
      </w:r>
      <w:bookmarkStart w:id="2" w:name="_Hlk205211540"/>
      <w:r>
        <w:rPr>
          <w:rFonts w:ascii="Aptos" w:hAnsi="Aptos"/>
        </w:rPr>
        <w:t>to understand whether companies chose to update their risk factors to reflect any material changes since the filings of their annual reports</w:t>
      </w:r>
      <w:bookmarkEnd w:id="2"/>
      <w:r>
        <w:rPr>
          <w:rFonts w:ascii="Aptos" w:hAnsi="Aptos"/>
        </w:rPr>
        <w:t>,</w:t>
      </w:r>
      <w:bookmarkEnd w:id="1"/>
      <w:r>
        <w:rPr>
          <w:rFonts w:ascii="Aptos" w:hAnsi="Aptos"/>
        </w:rPr>
        <w:t xml:space="preserve"> an update required by SEC regulations. In fact, over 75% of companies did not update their risk factor disclosures. However, 94 companies did, either restating their risk factors in their entirety or disclosing one to seven stand-alone risk factors. As expected, many of these updated risk factors related to evolving trade policies, government funding and/or contracting, and corporate sustainability reporting.  </w:t>
      </w:r>
    </w:p>
    <w:p w14:paraId="54ECBDBF" w14:textId="77777777" w:rsidR="00E236E0" w:rsidRPr="00891D8F" w:rsidRDefault="00E236E0" w:rsidP="00E236E0">
      <w:pPr>
        <w:rPr>
          <w:rFonts w:ascii="Aptos" w:hAnsi="Aptos"/>
        </w:rPr>
      </w:pPr>
    </w:p>
    <w:p w14:paraId="14158805" w14:textId="77777777" w:rsidR="00046EF6" w:rsidRDefault="00E236E0" w:rsidP="00046EF6">
      <w:pPr>
        <w:rPr>
          <w:rFonts w:ascii="Aptos" w:eastAsia="Times New Roman" w:hAnsi="Aptos" w:cstheme="minorHAnsi"/>
          <w:color w:val="1E4E79"/>
          <w:sz w:val="32"/>
          <w:szCs w:val="32"/>
        </w:rPr>
      </w:pPr>
      <w:r w:rsidRPr="00BF5156">
        <w:rPr>
          <w:noProof/>
        </w:rPr>
        <w:drawing>
          <wp:anchor distT="0" distB="0" distL="114300" distR="114300" simplePos="0" relativeHeight="251661312" behindDoc="0" locked="0" layoutInCell="1" allowOverlap="1" wp14:anchorId="3908FE7E" wp14:editId="475516CB">
            <wp:simplePos x="0" y="0"/>
            <wp:positionH relativeFrom="page">
              <wp:posOffset>-44606</wp:posOffset>
            </wp:positionH>
            <wp:positionV relativeFrom="paragraph">
              <wp:posOffset>325166</wp:posOffset>
            </wp:positionV>
            <wp:extent cx="7928517" cy="1487322"/>
            <wp:effectExtent l="0" t="0" r="0" b="0"/>
            <wp:wrapNone/>
            <wp:docPr id="1471555015" name="Picture 1" descr="White background with log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1555015" name="Picture 1" descr="White background with logos"/>
                    <pic:cNvPicPr/>
                  </pic:nvPicPr>
                  <pic:blipFill rotWithShape="1">
                    <a:blip r:embed="rId13">
                      <a:extLst>
                        <a:ext uri="{28A0092B-C50C-407E-A947-70E740481C1C}">
                          <a14:useLocalDpi xmlns:a14="http://schemas.microsoft.com/office/drawing/2010/main" val="0"/>
                        </a:ext>
                      </a:extLst>
                    </a:blip>
                    <a:srcRect l="257" r="-1"/>
                    <a:stretch/>
                  </pic:blipFill>
                  <pic:spPr bwMode="auto">
                    <a:xfrm>
                      <a:off x="0" y="0"/>
                      <a:ext cx="7928517" cy="1487322"/>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Aptos" w:eastAsia="Times New Roman" w:hAnsi="Aptos" w:cstheme="minorHAnsi"/>
          <w:color w:val="1E4E79"/>
        </w:rPr>
        <w:br w:type="page"/>
      </w:r>
      <w:r w:rsidRPr="00046EF6">
        <w:rPr>
          <w:rFonts w:ascii="Aptos" w:eastAsia="Times New Roman" w:hAnsi="Aptos" w:cstheme="minorHAnsi"/>
          <w:color w:val="990000"/>
          <w:sz w:val="40"/>
          <w:szCs w:val="40"/>
        </w:rPr>
        <w:lastRenderedPageBreak/>
        <w:t>Background</w:t>
      </w:r>
      <w:bookmarkStart w:id="3" w:name="_Hlk173591355"/>
    </w:p>
    <w:p w14:paraId="1AB68F09" w14:textId="0164D394" w:rsidR="00E236E0" w:rsidRPr="00046EF6" w:rsidRDefault="00E236E0" w:rsidP="00046EF6">
      <w:pPr>
        <w:rPr>
          <w:rFonts w:ascii="Aptos" w:eastAsia="Times New Roman" w:hAnsi="Aptos" w:cstheme="minorHAnsi"/>
          <w:color w:val="1E4E79"/>
          <w:sz w:val="32"/>
          <w:szCs w:val="32"/>
        </w:rPr>
      </w:pPr>
      <w:r w:rsidRPr="00855D6D">
        <w:rPr>
          <w:rFonts w:ascii="Aptos" w:eastAsia="Times New Roman" w:hAnsi="Aptos" w:cstheme="minorHAnsi"/>
        </w:rPr>
        <w:t>Deloitte and the USC Marshall Peter Arkley Institute for Risk Management</w:t>
      </w:r>
      <w:r w:rsidRPr="00891D8F">
        <w:rPr>
          <w:rFonts w:ascii="Aptos" w:eastAsia="Times New Roman" w:hAnsi="Aptos" w:cstheme="minorHAnsi"/>
        </w:rPr>
        <w:t xml:space="preserve"> published our initial r</w:t>
      </w:r>
      <w:r>
        <w:rPr>
          <w:rFonts w:ascii="Aptos" w:eastAsia="Times New Roman" w:hAnsi="Aptos" w:cstheme="minorHAnsi"/>
        </w:rPr>
        <w:t>isk factor disclosures analysis</w:t>
      </w:r>
      <w:r w:rsidRPr="00891D8F">
        <w:rPr>
          <w:rFonts w:ascii="Aptos" w:eastAsia="Times New Roman" w:hAnsi="Aptos" w:cstheme="minorHAnsi"/>
        </w:rPr>
        <w:t xml:space="preserve"> in March 2021,</w:t>
      </w:r>
      <w:r w:rsidRPr="00891D8F">
        <w:rPr>
          <w:rFonts w:ascii="Aptos" w:eastAsia="Times New Roman" w:hAnsi="Aptos" w:cstheme="minorHAnsi"/>
          <w:color w:val="0000FF"/>
        </w:rPr>
        <w:t xml:space="preserve"> </w:t>
      </w:r>
      <w:hyperlink r:id="rId14" w:history="1">
        <w:r w:rsidRPr="00891D8F">
          <w:rPr>
            <w:rStyle w:val="Hyperlink"/>
            <w:rFonts w:ascii="Aptos" w:eastAsia="Times New Roman" w:hAnsi="Aptos" w:cstheme="minorHAnsi"/>
            <w:i/>
            <w:iCs/>
          </w:rPr>
          <w:t>Many companies struggle to adopt spirit of amended SEC risk disclosure rules</w:t>
        </w:r>
      </w:hyperlink>
      <w:r w:rsidRPr="00891D8F">
        <w:rPr>
          <w:rFonts w:ascii="Aptos" w:eastAsia="Times New Roman" w:hAnsi="Aptos" w:cstheme="minorHAnsi"/>
        </w:rPr>
        <w:t>. We concluded that risk factor disclosures</w:t>
      </w:r>
      <w:r>
        <w:rPr>
          <w:rFonts w:ascii="Aptos" w:eastAsia="Times New Roman" w:hAnsi="Aptos" w:cstheme="minorHAnsi"/>
        </w:rPr>
        <w:t xml:space="preserve"> of S&amp;P 500 companies</w:t>
      </w:r>
      <w:r w:rsidRPr="00891D8F">
        <w:rPr>
          <w:rFonts w:ascii="Aptos" w:eastAsia="Times New Roman" w:hAnsi="Aptos" w:cstheme="minorHAnsi"/>
        </w:rPr>
        <w:t xml:space="preserve"> were becoming lengthier</w:t>
      </w:r>
      <w:r>
        <w:rPr>
          <w:rFonts w:ascii="Aptos" w:eastAsia="Times New Roman" w:hAnsi="Aptos" w:cstheme="minorHAnsi"/>
        </w:rPr>
        <w:t>,</w:t>
      </w:r>
      <w:r w:rsidRPr="00891D8F">
        <w:rPr>
          <w:rFonts w:ascii="Aptos" w:eastAsia="Times New Roman" w:hAnsi="Aptos" w:cstheme="minorHAnsi"/>
        </w:rPr>
        <w:t xml:space="preserve"> contravening the SEC’s stated intention in the amended requirements. </w:t>
      </w:r>
      <w:r w:rsidRPr="00C4373A">
        <w:rPr>
          <w:rFonts w:ascii="Aptos" w:hAnsi="Aptos"/>
        </w:rPr>
        <w:t xml:space="preserve">For a description of these requirements, see </w:t>
      </w:r>
      <w:r w:rsidRPr="00C4373A">
        <w:rPr>
          <w:rFonts w:ascii="Aptos" w:hAnsi="Aptos"/>
          <w:i/>
        </w:rPr>
        <w:t>Appendix: Summary of SEC’s Final Rule on Regulation S-K, Item 105</w:t>
      </w:r>
      <w:r w:rsidRPr="00C4373A">
        <w:rPr>
          <w:rFonts w:ascii="Aptos" w:hAnsi="Aptos"/>
        </w:rPr>
        <w:t>.</w:t>
      </w:r>
      <w:r>
        <w:rPr>
          <w:rFonts w:ascii="Aptos" w:hAnsi="Aptos"/>
        </w:rPr>
        <w:t xml:space="preserve"> </w:t>
      </w:r>
    </w:p>
    <w:p w14:paraId="689A16D2" w14:textId="77777777" w:rsidR="00E236E0" w:rsidRPr="00891D8F" w:rsidRDefault="00E236E0" w:rsidP="00046EF6">
      <w:pPr>
        <w:rPr>
          <w:rFonts w:ascii="Aptos" w:eastAsia="Times New Roman" w:hAnsi="Aptos" w:cstheme="minorHAnsi"/>
        </w:rPr>
      </w:pPr>
      <w:r w:rsidRPr="00891D8F">
        <w:rPr>
          <w:rFonts w:ascii="Aptos" w:eastAsia="Times New Roman" w:hAnsi="Aptos" w:cstheme="minorHAnsi"/>
        </w:rPr>
        <w:t xml:space="preserve">Follow-up reports in </w:t>
      </w:r>
      <w:hyperlink r:id="rId15" w:history="1">
        <w:r w:rsidRPr="00891D8F">
          <w:rPr>
            <w:rStyle w:val="Hyperlink"/>
            <w:rFonts w:ascii="Aptos" w:eastAsia="Times New Roman" w:hAnsi="Aptos" w:cstheme="minorHAnsi"/>
          </w:rPr>
          <w:t>November 2021</w:t>
        </w:r>
      </w:hyperlink>
      <w:r>
        <w:t>,</w:t>
      </w:r>
      <w:r w:rsidRPr="00891D8F">
        <w:rPr>
          <w:rFonts w:ascii="Aptos" w:eastAsia="Times New Roman" w:hAnsi="Aptos" w:cstheme="minorHAnsi"/>
        </w:rPr>
        <w:t xml:space="preserve"> </w:t>
      </w:r>
      <w:hyperlink r:id="rId16" w:history="1">
        <w:r w:rsidRPr="00891D8F">
          <w:rPr>
            <w:rStyle w:val="Hyperlink"/>
            <w:rFonts w:ascii="Aptos" w:eastAsia="Times New Roman" w:hAnsi="Aptos" w:cstheme="minorHAnsi"/>
          </w:rPr>
          <w:t>December 2022</w:t>
        </w:r>
      </w:hyperlink>
      <w:r w:rsidRPr="00891D8F">
        <w:rPr>
          <w:rFonts w:ascii="Aptos" w:eastAsia="Times New Roman" w:hAnsi="Aptos" w:cstheme="minorHAnsi"/>
        </w:rPr>
        <w:t xml:space="preserve">, and </w:t>
      </w:r>
      <w:hyperlink r:id="rId17" w:history="1">
        <w:r w:rsidRPr="00891D8F">
          <w:rPr>
            <w:rStyle w:val="Hyperlink"/>
            <w:rFonts w:ascii="Aptos" w:eastAsia="Times New Roman" w:hAnsi="Aptos" w:cstheme="minorHAnsi"/>
          </w:rPr>
          <w:t>November 2023</w:t>
        </w:r>
      </w:hyperlink>
      <w:r>
        <w:rPr>
          <w:rFonts w:ascii="Aptos" w:eastAsia="Times New Roman" w:hAnsi="Aptos" w:cstheme="minorHAnsi"/>
        </w:rPr>
        <w:t xml:space="preserve"> </w:t>
      </w:r>
      <w:r w:rsidRPr="00891D8F">
        <w:rPr>
          <w:rFonts w:ascii="Aptos" w:eastAsia="Times New Roman" w:hAnsi="Aptos" w:cstheme="minorHAnsi"/>
        </w:rPr>
        <w:t xml:space="preserve">confirmed our initial March 2021 analysis and showed a continuing trend toward lengthier disclosures. </w:t>
      </w:r>
      <w:r>
        <w:rPr>
          <w:rFonts w:ascii="Aptos" w:eastAsia="Times New Roman" w:hAnsi="Aptos" w:cstheme="minorHAnsi"/>
        </w:rPr>
        <w:t xml:space="preserve">Our </w:t>
      </w:r>
      <w:hyperlink r:id="rId18" w:history="1">
        <w:r w:rsidRPr="00FA6960">
          <w:rPr>
            <w:rStyle w:val="Hyperlink"/>
            <w:rFonts w:ascii="Aptos" w:eastAsia="Times New Roman" w:hAnsi="Aptos" w:cstheme="minorHAnsi"/>
          </w:rPr>
          <w:t>October 2024 report</w:t>
        </w:r>
      </w:hyperlink>
      <w:r>
        <w:rPr>
          <w:rFonts w:ascii="Aptos" w:eastAsia="Times New Roman" w:hAnsi="Aptos" w:cstheme="minorHAnsi"/>
        </w:rPr>
        <w:t xml:space="preserve"> showed that disclosures were stabilizing, growing minimally in page count and risk factor count. </w:t>
      </w:r>
    </w:p>
    <w:p w14:paraId="438401AF" w14:textId="4D2AF54F" w:rsidR="00046EF6" w:rsidRPr="00046EF6" w:rsidRDefault="00E236E0" w:rsidP="00046EF6">
      <w:pPr>
        <w:rPr>
          <w:rFonts w:ascii="Aptos" w:hAnsi="Aptos"/>
          <w:color w:val="000000" w:themeColor="text1"/>
        </w:rPr>
      </w:pPr>
      <w:r w:rsidRPr="00046EF6">
        <w:rPr>
          <w:rFonts w:ascii="Aptos" w:hAnsi="Aptos"/>
          <w:color w:val="000000" w:themeColor="text1"/>
        </w:rPr>
        <w:t>In this latest report, we have reviewed the risk factor disclosures in the annual reports of 427 S&amp;P 500 companies to identify trends during this fifth year of implementation. We also have reviewed the first quarterly reports filed after April 2, 2025 to understand whether companies chose to update their risk factors to reflect any material changes since the filings of their annual reports. Finally, we have provided some high-level considerations for companies as they prepare for the next reporting season.</w:t>
      </w:r>
    </w:p>
    <w:p w14:paraId="5FC6C329" w14:textId="18E27A8C" w:rsidR="00E236E0" w:rsidRPr="00046EF6" w:rsidRDefault="00E236E0" w:rsidP="00046EF6">
      <w:pPr>
        <w:pStyle w:val="Heading1"/>
        <w:spacing w:before="0"/>
        <w:rPr>
          <w:rFonts w:ascii="Aptos" w:eastAsia="Times New Roman" w:hAnsi="Aptos" w:cstheme="minorHAnsi"/>
          <w:color w:val="990000"/>
        </w:rPr>
      </w:pPr>
      <w:r w:rsidRPr="00046EF6">
        <w:rPr>
          <w:rFonts w:ascii="Aptos" w:eastAsia="Times New Roman" w:hAnsi="Aptos" w:cstheme="minorHAnsi"/>
          <w:color w:val="990000"/>
        </w:rPr>
        <w:t>Analysis of rules adoption</w:t>
      </w:r>
    </w:p>
    <w:p w14:paraId="6739F0DB" w14:textId="45A6D1D1" w:rsidR="00E236E0" w:rsidRDefault="00E236E0" w:rsidP="00046EF6">
      <w:pPr>
        <w:spacing w:after="240"/>
        <w:rPr>
          <w:rFonts w:ascii="Aptos" w:hAnsi="Aptos" w:cstheme="minorHAnsi"/>
        </w:rPr>
      </w:pPr>
      <w:r w:rsidRPr="003200B2">
        <w:rPr>
          <w:rFonts w:ascii="Aptos" w:hAnsi="Aptos" w:cstheme="minorHAnsi"/>
        </w:rPr>
        <w:t>To assess the adoption of the amended requirements over five years of implementation, we have reviewed the risk factor disclosures of 427 S&amp;P 500 companies that have filed five annual reports between November 9, 2020, the effective date of these requirements, and May 9, 2025. Our key findings are as follows:</w:t>
      </w:r>
      <w:r w:rsidRPr="00891D8F">
        <w:rPr>
          <w:rStyle w:val="EndnoteReference"/>
          <w:rFonts w:ascii="Aptos" w:hAnsi="Aptos" w:cstheme="minorHAnsi"/>
        </w:rPr>
        <w:endnoteReference w:id="2"/>
      </w:r>
      <w:r w:rsidRPr="003200B2">
        <w:rPr>
          <w:rFonts w:ascii="Aptos" w:hAnsi="Aptos" w:cstheme="minorHAnsi"/>
        </w:rPr>
        <w:t xml:space="preserve">   </w:t>
      </w:r>
    </w:p>
    <w:p w14:paraId="34D9F027" w14:textId="381F35C3" w:rsidR="00E236E0" w:rsidRDefault="00E236E0" w:rsidP="00E236E0">
      <w:pPr>
        <w:spacing w:after="240"/>
        <w:rPr>
          <w:rFonts w:ascii="Aptos" w:hAnsi="Aptos" w:cstheme="minorHAnsi"/>
        </w:rPr>
      </w:pPr>
    </w:p>
    <w:p w14:paraId="27DEE5E8" w14:textId="46D0FC1F" w:rsidR="00E236E0" w:rsidRDefault="00E236E0" w:rsidP="00E236E0">
      <w:pPr>
        <w:spacing w:after="240"/>
        <w:rPr>
          <w:rFonts w:ascii="Aptos" w:hAnsi="Aptos" w:cstheme="minorHAnsi"/>
        </w:rPr>
      </w:pPr>
    </w:p>
    <w:p w14:paraId="2D26B1AD" w14:textId="396FAAC2" w:rsidR="00E236E0" w:rsidRDefault="00E236E0" w:rsidP="00E236E0">
      <w:pPr>
        <w:spacing w:after="240"/>
        <w:rPr>
          <w:rFonts w:ascii="Aptos" w:hAnsi="Aptos" w:cstheme="minorHAnsi"/>
        </w:rPr>
      </w:pPr>
    </w:p>
    <w:p w14:paraId="407AFCC2" w14:textId="157F60C3" w:rsidR="00E236E0" w:rsidRDefault="00E236E0" w:rsidP="00E236E0">
      <w:pPr>
        <w:spacing w:after="240"/>
        <w:rPr>
          <w:rFonts w:ascii="Aptos" w:hAnsi="Aptos" w:cstheme="minorHAnsi"/>
        </w:rPr>
      </w:pPr>
    </w:p>
    <w:p w14:paraId="493F802F" w14:textId="55B493C2" w:rsidR="00E236E0" w:rsidRDefault="00D92AD1" w:rsidP="00E236E0">
      <w:pPr>
        <w:spacing w:after="240"/>
        <w:rPr>
          <w:rFonts w:ascii="Aptos" w:hAnsi="Aptos" w:cstheme="minorHAnsi"/>
        </w:rPr>
      </w:pPr>
      <w:r>
        <w:rPr>
          <w:rFonts w:ascii="Aptos" w:hAnsi="Aptos" w:cstheme="minorHAnsi"/>
          <w:b/>
          <w:bCs/>
          <w:noProof/>
          <w:sz w:val="24"/>
          <w:szCs w:val="24"/>
        </w:rPr>
        <w:drawing>
          <wp:anchor distT="0" distB="0" distL="114300" distR="114300" simplePos="0" relativeHeight="251669504" behindDoc="0" locked="0" layoutInCell="1" allowOverlap="1" wp14:anchorId="4DB1EFF2" wp14:editId="296B1AEB">
            <wp:simplePos x="0" y="0"/>
            <wp:positionH relativeFrom="column">
              <wp:posOffset>-901700</wp:posOffset>
            </wp:positionH>
            <wp:positionV relativeFrom="paragraph">
              <wp:posOffset>154305</wp:posOffset>
            </wp:positionV>
            <wp:extent cx="7971790" cy="2665095"/>
            <wp:effectExtent l="0" t="0" r="0" b="1905"/>
            <wp:wrapNone/>
            <wp:docPr id="1797062205" name="Picture 5" descr="A container ship with cran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7062205" name="Picture 5" descr="A container ship with cranes."/>
                    <pic:cNvPicPr/>
                  </pic:nvPicPr>
                  <pic:blipFill rotWithShape="1">
                    <a:blip r:embed="rId19" cstate="print">
                      <a:extLst>
                        <a:ext uri="{28A0092B-C50C-407E-A947-70E740481C1C}">
                          <a14:useLocalDpi xmlns:a14="http://schemas.microsoft.com/office/drawing/2010/main" val="0"/>
                        </a:ext>
                      </a:extLst>
                    </a:blip>
                    <a:srcRect l="-17" t="29031" r="-2933" b="9655"/>
                    <a:stretch>
                      <a:fillRect/>
                    </a:stretch>
                  </pic:blipFill>
                  <pic:spPr bwMode="auto">
                    <a:xfrm>
                      <a:off x="0" y="0"/>
                      <a:ext cx="7971790" cy="26650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4255F85" w14:textId="21613277" w:rsidR="00E236E0" w:rsidRDefault="00E236E0" w:rsidP="00E236E0">
      <w:pPr>
        <w:spacing w:after="240"/>
        <w:rPr>
          <w:rFonts w:ascii="Aptos" w:hAnsi="Aptos" w:cstheme="minorHAnsi"/>
        </w:rPr>
      </w:pPr>
    </w:p>
    <w:p w14:paraId="48CE3FFE" w14:textId="1C30B5F6" w:rsidR="00E236E0" w:rsidRDefault="00E236E0" w:rsidP="00E236E0">
      <w:pPr>
        <w:spacing w:after="240"/>
        <w:rPr>
          <w:rFonts w:ascii="Aptos" w:hAnsi="Aptos" w:cstheme="minorHAnsi"/>
        </w:rPr>
      </w:pPr>
    </w:p>
    <w:p w14:paraId="2B79C279" w14:textId="78E53282" w:rsidR="00E236E0" w:rsidRDefault="00E236E0" w:rsidP="00E236E0">
      <w:pPr>
        <w:spacing w:after="240"/>
        <w:rPr>
          <w:rFonts w:ascii="Aptos" w:hAnsi="Aptos" w:cstheme="minorHAnsi"/>
        </w:rPr>
      </w:pPr>
    </w:p>
    <w:p w14:paraId="79267591" w14:textId="17E63911" w:rsidR="00E236E0" w:rsidRDefault="00E236E0" w:rsidP="00E236E0">
      <w:pPr>
        <w:spacing w:after="240"/>
        <w:rPr>
          <w:rFonts w:ascii="Aptos" w:hAnsi="Aptos" w:cstheme="minorHAnsi"/>
        </w:rPr>
      </w:pPr>
    </w:p>
    <w:p w14:paraId="5379452B" w14:textId="77777777" w:rsidR="00E236E0" w:rsidRDefault="00E236E0" w:rsidP="00E236E0">
      <w:pPr>
        <w:spacing w:after="240"/>
        <w:rPr>
          <w:rFonts w:ascii="Aptos" w:hAnsi="Aptos" w:cstheme="minorHAnsi"/>
        </w:rPr>
      </w:pPr>
    </w:p>
    <w:p w14:paraId="6E5F6872" w14:textId="4E64E355" w:rsidR="00E236E0" w:rsidRPr="00602527" w:rsidRDefault="00E236E0" w:rsidP="00046EF6">
      <w:pPr>
        <w:pStyle w:val="ListParagraph"/>
        <w:numPr>
          <w:ilvl w:val="0"/>
          <w:numId w:val="1"/>
        </w:numPr>
        <w:ind w:left="360" w:firstLine="0"/>
        <w:rPr>
          <w:rFonts w:ascii="Aptos" w:hAnsi="Aptos" w:cstheme="minorHAnsi"/>
          <w:b/>
          <w:bCs/>
          <w:sz w:val="24"/>
          <w:szCs w:val="24"/>
        </w:rPr>
      </w:pPr>
      <w:r w:rsidRPr="00602527">
        <w:rPr>
          <w:rFonts w:ascii="Aptos" w:hAnsi="Aptos" w:cstheme="minorHAnsi"/>
          <w:b/>
          <w:bCs/>
          <w:sz w:val="24"/>
          <w:szCs w:val="24"/>
        </w:rPr>
        <w:lastRenderedPageBreak/>
        <w:t xml:space="preserve">The number of pages has increased </w:t>
      </w:r>
      <w:r>
        <w:rPr>
          <w:rFonts w:ascii="Aptos" w:hAnsi="Aptos" w:cstheme="minorHAnsi"/>
          <w:b/>
          <w:bCs/>
          <w:sz w:val="24"/>
          <w:szCs w:val="24"/>
        </w:rPr>
        <w:t>by nearly a half page</w:t>
      </w:r>
      <w:r w:rsidRPr="00602527">
        <w:rPr>
          <w:rFonts w:ascii="Aptos" w:hAnsi="Aptos" w:cstheme="minorHAnsi"/>
          <w:b/>
          <w:bCs/>
          <w:sz w:val="24"/>
          <w:szCs w:val="24"/>
        </w:rPr>
        <w:t xml:space="preserve"> over the past year.</w:t>
      </w:r>
    </w:p>
    <w:p w14:paraId="5D36D7D8" w14:textId="2D5A93F4" w:rsidR="00E236E0" w:rsidRPr="00891D8F" w:rsidRDefault="00E236E0" w:rsidP="00046EF6">
      <w:pPr>
        <w:pStyle w:val="ListParagraph"/>
        <w:ind w:left="360"/>
        <w:rPr>
          <w:rFonts w:ascii="Aptos" w:hAnsi="Aptos" w:cstheme="minorHAnsi"/>
          <w:b/>
          <w:bCs/>
        </w:rPr>
      </w:pPr>
    </w:p>
    <w:p w14:paraId="1C037208" w14:textId="3DDCB587" w:rsidR="00E236E0" w:rsidRPr="003200B2" w:rsidRDefault="00E236E0" w:rsidP="00046EF6">
      <w:pPr>
        <w:pStyle w:val="ListParagraph"/>
        <w:numPr>
          <w:ilvl w:val="1"/>
          <w:numId w:val="1"/>
        </w:numPr>
        <w:spacing w:after="0"/>
        <w:rPr>
          <w:rFonts w:ascii="Aptos" w:hAnsi="Aptos"/>
          <w:noProof/>
        </w:rPr>
      </w:pPr>
      <w:r w:rsidRPr="00891D8F">
        <w:rPr>
          <w:rFonts w:ascii="Aptos" w:hAnsi="Aptos" w:cstheme="minorHAnsi"/>
        </w:rPr>
        <w:t xml:space="preserve">The average number of pages is about </w:t>
      </w:r>
      <w:r>
        <w:rPr>
          <w:rFonts w:ascii="Aptos" w:hAnsi="Aptos" w:cstheme="minorHAnsi"/>
        </w:rPr>
        <w:t>14.3</w:t>
      </w:r>
      <w:r w:rsidRPr="00891D8F">
        <w:rPr>
          <w:rFonts w:ascii="Aptos" w:hAnsi="Aptos" w:cstheme="minorHAnsi"/>
        </w:rPr>
        <w:t xml:space="preserve"> per company</w:t>
      </w:r>
      <w:r>
        <w:rPr>
          <w:rFonts w:ascii="Aptos" w:hAnsi="Aptos" w:cstheme="minorHAnsi"/>
        </w:rPr>
        <w:t xml:space="preserve">. </w:t>
      </w:r>
      <w:r w:rsidRPr="008A0CEA">
        <w:rPr>
          <w:rFonts w:ascii="Aptos" w:hAnsi="Aptos" w:cstheme="minorHAnsi"/>
          <w:shd w:val="clear" w:color="auto" w:fill="FFFFFF" w:themeFill="background1"/>
        </w:rPr>
        <w:t xml:space="preserve">Over </w:t>
      </w:r>
      <w:r w:rsidRPr="00A16BD0">
        <w:rPr>
          <w:rFonts w:ascii="Aptos" w:hAnsi="Aptos" w:cstheme="minorHAnsi"/>
          <w:shd w:val="clear" w:color="auto" w:fill="FFFFFF" w:themeFill="background1"/>
        </w:rPr>
        <w:t>5</w:t>
      </w:r>
      <w:r w:rsidRPr="007949CC">
        <w:rPr>
          <w:rFonts w:ascii="Aptos" w:hAnsi="Aptos" w:cstheme="minorHAnsi"/>
          <w:shd w:val="clear" w:color="auto" w:fill="FFFFFF" w:themeFill="background1"/>
        </w:rPr>
        <w:t>6</w:t>
      </w:r>
      <w:r w:rsidRPr="008A0CEA">
        <w:rPr>
          <w:rFonts w:ascii="Aptos" w:hAnsi="Aptos" w:cstheme="minorHAnsi"/>
          <w:shd w:val="clear" w:color="auto" w:fill="FFFFFF" w:themeFill="background1"/>
        </w:rPr>
        <w:t>% of companies</w:t>
      </w:r>
      <w:r>
        <w:rPr>
          <w:rFonts w:ascii="Aptos" w:hAnsi="Aptos" w:cstheme="minorHAnsi"/>
        </w:rPr>
        <w:t xml:space="preserve"> </w:t>
      </w:r>
      <w:r w:rsidRPr="00891D8F">
        <w:rPr>
          <w:rFonts w:ascii="Aptos" w:hAnsi="Aptos" w:cstheme="minorHAnsi"/>
        </w:rPr>
        <w:t>increased the number of pages this past year.</w:t>
      </w:r>
      <w:r>
        <w:rPr>
          <w:rFonts w:ascii="Aptos" w:hAnsi="Aptos" w:cstheme="minorHAnsi"/>
        </w:rPr>
        <w:t xml:space="preserve"> </w:t>
      </w:r>
    </w:p>
    <w:p w14:paraId="4B3A5A59" w14:textId="159CE926" w:rsidR="00E236E0" w:rsidRPr="003200B2" w:rsidRDefault="00E236E0" w:rsidP="00E236E0">
      <w:pPr>
        <w:pStyle w:val="ListParagraph"/>
        <w:spacing w:after="0" w:line="240" w:lineRule="auto"/>
        <w:ind w:left="1080"/>
        <w:rPr>
          <w:rFonts w:ascii="Aptos" w:hAnsi="Aptos"/>
          <w:noProof/>
        </w:rPr>
      </w:pPr>
    </w:p>
    <w:p w14:paraId="21A90748" w14:textId="4DF195BC" w:rsidR="00E236E0" w:rsidRPr="00046EF6" w:rsidRDefault="004011CD" w:rsidP="00046EF6">
      <w:pPr>
        <w:jc w:val="center"/>
        <w:rPr>
          <w:rFonts w:ascii="Aptos" w:hAnsi="Aptos"/>
          <w:noProof/>
        </w:rPr>
      </w:pPr>
      <w:r>
        <w:rPr>
          <w:rFonts w:ascii="Aptos" w:hAnsi="Aptos"/>
          <w:noProof/>
        </w:rPr>
        <w:drawing>
          <wp:inline distT="0" distB="0" distL="0" distR="0" wp14:anchorId="480A1CCC" wp14:editId="19894F81">
            <wp:extent cx="5657016" cy="2983230"/>
            <wp:effectExtent l="0" t="0" r="0" b="1270"/>
            <wp:docPr id="658690275" name="Picture 4" descr="A graph of numbers on a screen&#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8690275" name="Picture 4" descr="A graph of numbers on a screen&#10;"/>
                    <pic:cNvPicPr/>
                  </pic:nvPicPr>
                  <pic:blipFill>
                    <a:blip r:embed="rId20">
                      <a:extLst>
                        <a:ext uri="{28A0092B-C50C-407E-A947-70E740481C1C}">
                          <a14:useLocalDpi xmlns:a14="http://schemas.microsoft.com/office/drawing/2010/main" val="0"/>
                        </a:ext>
                      </a:extLst>
                    </a:blip>
                    <a:stretch>
                      <a:fillRect/>
                    </a:stretch>
                  </pic:blipFill>
                  <pic:spPr>
                    <a:xfrm>
                      <a:off x="0" y="0"/>
                      <a:ext cx="5710410" cy="3011387"/>
                    </a:xfrm>
                    <a:prstGeom prst="rect">
                      <a:avLst/>
                    </a:prstGeom>
                  </pic:spPr>
                </pic:pic>
              </a:graphicData>
            </a:graphic>
          </wp:inline>
        </w:drawing>
      </w:r>
    </w:p>
    <w:p w14:paraId="6C89087B" w14:textId="708643AD" w:rsidR="00E236E0" w:rsidRPr="00602527" w:rsidRDefault="00E236E0" w:rsidP="00046EF6">
      <w:pPr>
        <w:pStyle w:val="ListParagraph"/>
        <w:numPr>
          <w:ilvl w:val="0"/>
          <w:numId w:val="1"/>
        </w:numPr>
        <w:rPr>
          <w:rFonts w:ascii="Aptos" w:hAnsi="Aptos" w:cstheme="minorHAnsi"/>
          <w:sz w:val="24"/>
          <w:szCs w:val="24"/>
        </w:rPr>
      </w:pPr>
      <w:r w:rsidRPr="00602527">
        <w:rPr>
          <w:rFonts w:ascii="Aptos" w:hAnsi="Aptos" w:cstheme="minorHAnsi"/>
          <w:b/>
          <w:bCs/>
          <w:sz w:val="24"/>
          <w:szCs w:val="24"/>
        </w:rPr>
        <w:t xml:space="preserve">The number of risk factors has stabilized over the past </w:t>
      </w:r>
      <w:r>
        <w:rPr>
          <w:rFonts w:ascii="Aptos" w:hAnsi="Aptos" w:cstheme="minorHAnsi"/>
          <w:b/>
          <w:bCs/>
          <w:sz w:val="24"/>
          <w:szCs w:val="24"/>
        </w:rPr>
        <w:t>five</w:t>
      </w:r>
      <w:r w:rsidRPr="00602527">
        <w:rPr>
          <w:rFonts w:ascii="Aptos" w:hAnsi="Aptos" w:cstheme="minorHAnsi"/>
          <w:b/>
          <w:bCs/>
          <w:sz w:val="24"/>
          <w:szCs w:val="24"/>
        </w:rPr>
        <w:t xml:space="preserve"> years.</w:t>
      </w:r>
    </w:p>
    <w:p w14:paraId="601740C8" w14:textId="77777777" w:rsidR="00E236E0" w:rsidRPr="00F22E5F" w:rsidRDefault="00E236E0" w:rsidP="00046EF6">
      <w:pPr>
        <w:pStyle w:val="ListParagraph"/>
        <w:rPr>
          <w:rFonts w:ascii="Aptos" w:hAnsi="Aptos" w:cstheme="minorHAnsi"/>
        </w:rPr>
      </w:pPr>
    </w:p>
    <w:p w14:paraId="771D1A49" w14:textId="4AAB8B41" w:rsidR="00E236E0" w:rsidRPr="003200B2" w:rsidRDefault="00E236E0" w:rsidP="00046EF6">
      <w:pPr>
        <w:pStyle w:val="ListParagraph"/>
        <w:numPr>
          <w:ilvl w:val="1"/>
          <w:numId w:val="1"/>
        </w:numPr>
        <w:rPr>
          <w:rFonts w:ascii="Aptos" w:hAnsi="Aptos" w:cstheme="minorHAnsi"/>
        </w:rPr>
      </w:pPr>
      <w:r w:rsidRPr="00F22E5F">
        <w:rPr>
          <w:rFonts w:ascii="Aptos" w:hAnsi="Aptos" w:cstheme="minorHAnsi"/>
        </w:rPr>
        <w:t xml:space="preserve">The average number of risk factors per company was </w:t>
      </w:r>
      <w:r>
        <w:rPr>
          <w:rFonts w:ascii="Aptos" w:hAnsi="Aptos" w:cstheme="minorHAnsi"/>
        </w:rPr>
        <w:t xml:space="preserve">32. </w:t>
      </w:r>
      <w:r>
        <w:rPr>
          <w:rFonts w:ascii="Aptos" w:hAnsi="Aptos" w:cstheme="minorHAnsi"/>
          <w:shd w:val="clear" w:color="auto" w:fill="FFFFFF" w:themeFill="background1"/>
        </w:rPr>
        <w:t xml:space="preserve"> Even with the number of risk factors stabilizing</w:t>
      </w:r>
      <w:r w:rsidRPr="00A16BD0">
        <w:rPr>
          <w:rFonts w:ascii="Aptos" w:hAnsi="Aptos" w:cstheme="minorHAnsi"/>
          <w:shd w:val="clear" w:color="auto" w:fill="FFFFFF" w:themeFill="background1"/>
        </w:rPr>
        <w:t>, 37% of companies still</w:t>
      </w:r>
      <w:r w:rsidRPr="00F22E5F">
        <w:rPr>
          <w:rFonts w:ascii="Aptos" w:hAnsi="Aptos" w:cstheme="minorHAnsi"/>
        </w:rPr>
        <w:t xml:space="preserve"> increased the number of risk factors this past year.</w:t>
      </w:r>
      <w:r w:rsidRPr="00F22E5F">
        <w:rPr>
          <w:rFonts w:ascii="Aptos" w:hAnsi="Aptos"/>
          <w:noProof/>
        </w:rPr>
        <w:t xml:space="preserve"> </w:t>
      </w:r>
    </w:p>
    <w:p w14:paraId="3286565C" w14:textId="22065392" w:rsidR="00E236E0" w:rsidRDefault="004011CD" w:rsidP="00E236E0">
      <w:pPr>
        <w:spacing w:after="0" w:line="240" w:lineRule="auto"/>
        <w:jc w:val="center"/>
        <w:rPr>
          <w:rFonts w:ascii="Aptos" w:hAnsi="Aptos"/>
          <w:noProof/>
        </w:rPr>
      </w:pPr>
      <w:r>
        <w:rPr>
          <w:rFonts w:ascii="Aptos" w:hAnsi="Aptos"/>
          <w:noProof/>
        </w:rPr>
        <w:drawing>
          <wp:inline distT="0" distB="0" distL="0" distR="0" wp14:anchorId="67C0C448" wp14:editId="1969A4C0">
            <wp:extent cx="5610860" cy="3023632"/>
            <wp:effectExtent l="0" t="0" r="2540" b="0"/>
            <wp:docPr id="804109139" name="Picture 6" descr="A graph of number of risk factors&#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4109139" name="Picture 6" descr="A graph of number of risk factors&#10;"/>
                    <pic:cNvPicPr/>
                  </pic:nvPicPr>
                  <pic:blipFill>
                    <a:blip r:embed="rId21">
                      <a:extLst>
                        <a:ext uri="{28A0092B-C50C-407E-A947-70E740481C1C}">
                          <a14:useLocalDpi xmlns:a14="http://schemas.microsoft.com/office/drawing/2010/main" val="0"/>
                        </a:ext>
                      </a:extLst>
                    </a:blip>
                    <a:stretch>
                      <a:fillRect/>
                    </a:stretch>
                  </pic:blipFill>
                  <pic:spPr>
                    <a:xfrm>
                      <a:off x="0" y="0"/>
                      <a:ext cx="5674438" cy="3057893"/>
                    </a:xfrm>
                    <a:prstGeom prst="rect">
                      <a:avLst/>
                    </a:prstGeom>
                  </pic:spPr>
                </pic:pic>
              </a:graphicData>
            </a:graphic>
          </wp:inline>
        </w:drawing>
      </w:r>
    </w:p>
    <w:p w14:paraId="66ABDA37" w14:textId="6830B5EF" w:rsidR="00E236E0" w:rsidRPr="00602527" w:rsidRDefault="00E236E0" w:rsidP="00046EF6">
      <w:pPr>
        <w:pStyle w:val="ListParagraph"/>
        <w:numPr>
          <w:ilvl w:val="0"/>
          <w:numId w:val="1"/>
        </w:numPr>
        <w:spacing w:after="0"/>
        <w:rPr>
          <w:rFonts w:ascii="Aptos" w:hAnsi="Aptos" w:cstheme="minorHAnsi"/>
          <w:b/>
          <w:bCs/>
          <w:sz w:val="24"/>
          <w:szCs w:val="24"/>
        </w:rPr>
      </w:pPr>
      <w:r w:rsidRPr="00602527">
        <w:rPr>
          <w:rFonts w:ascii="Aptos" w:hAnsi="Aptos" w:cstheme="minorHAnsi"/>
          <w:b/>
          <w:bCs/>
          <w:sz w:val="24"/>
          <w:szCs w:val="24"/>
        </w:rPr>
        <w:lastRenderedPageBreak/>
        <w:t xml:space="preserve">Most companies did not need to include a risk factor summary, which is required if the risk factors disclosure is longer than 15 pages. </w:t>
      </w:r>
    </w:p>
    <w:p w14:paraId="69DF652B" w14:textId="77777777" w:rsidR="00E236E0" w:rsidRPr="00635338" w:rsidRDefault="00E236E0" w:rsidP="00046EF6">
      <w:pPr>
        <w:pStyle w:val="ListParagraph"/>
        <w:spacing w:after="0"/>
        <w:rPr>
          <w:rFonts w:ascii="Aptos" w:hAnsi="Aptos" w:cstheme="minorHAnsi"/>
        </w:rPr>
      </w:pPr>
    </w:p>
    <w:p w14:paraId="3A38FFC2" w14:textId="153C64DF" w:rsidR="00E236E0" w:rsidRPr="00A16BD0" w:rsidRDefault="00E236E0" w:rsidP="00046EF6">
      <w:pPr>
        <w:pStyle w:val="ListParagraph"/>
        <w:numPr>
          <w:ilvl w:val="1"/>
          <w:numId w:val="1"/>
        </w:numPr>
        <w:spacing w:after="0"/>
        <w:rPr>
          <w:rFonts w:ascii="Aptos" w:hAnsi="Aptos" w:cstheme="minorHAnsi"/>
        </w:rPr>
      </w:pPr>
      <w:r w:rsidRPr="00A16BD0">
        <w:rPr>
          <w:rFonts w:ascii="Aptos" w:hAnsi="Aptos" w:cstheme="minorHAnsi"/>
          <w:shd w:val="clear" w:color="auto" w:fill="FFFFFF" w:themeFill="background1"/>
        </w:rPr>
        <w:t>Approximately 2</w:t>
      </w:r>
      <w:r>
        <w:rPr>
          <w:rFonts w:ascii="Aptos" w:hAnsi="Aptos" w:cstheme="minorHAnsi"/>
          <w:shd w:val="clear" w:color="auto" w:fill="FFFFFF" w:themeFill="background1"/>
        </w:rPr>
        <w:t>8</w:t>
      </w:r>
      <w:r w:rsidRPr="00A16BD0">
        <w:rPr>
          <w:rFonts w:ascii="Aptos" w:hAnsi="Aptos" w:cstheme="minorHAnsi"/>
          <w:shd w:val="clear" w:color="auto" w:fill="FFFFFF" w:themeFill="background1"/>
        </w:rPr>
        <w:t>% included a summary in the fi</w:t>
      </w:r>
      <w:r>
        <w:rPr>
          <w:rFonts w:ascii="Aptos" w:hAnsi="Aptos" w:cstheme="minorHAnsi"/>
          <w:shd w:val="clear" w:color="auto" w:fill="FFFFFF" w:themeFill="background1"/>
        </w:rPr>
        <w:t>fth</w:t>
      </w:r>
      <w:r w:rsidRPr="00A16BD0">
        <w:rPr>
          <w:rFonts w:ascii="Aptos" w:hAnsi="Aptos" w:cstheme="minorHAnsi"/>
          <w:shd w:val="clear" w:color="auto" w:fill="FFFFFF" w:themeFill="background1"/>
        </w:rPr>
        <w:t xml:space="preserve"> year of implementation</w:t>
      </w:r>
      <w:r>
        <w:rPr>
          <w:rFonts w:ascii="Aptos" w:hAnsi="Aptos" w:cstheme="minorHAnsi"/>
          <w:shd w:val="clear" w:color="auto" w:fill="FFFFFF" w:themeFill="background1"/>
        </w:rPr>
        <w:t xml:space="preserve"> up from</w:t>
      </w:r>
      <w:r w:rsidRPr="00A16BD0">
        <w:rPr>
          <w:rFonts w:ascii="Aptos" w:hAnsi="Aptos" w:cstheme="minorHAnsi"/>
          <w:shd w:val="clear" w:color="auto" w:fill="FFFFFF" w:themeFill="background1"/>
        </w:rPr>
        <w:t xml:space="preserve"> 2</w:t>
      </w:r>
      <w:r w:rsidR="00E615FE">
        <w:rPr>
          <w:rFonts w:ascii="Aptos" w:hAnsi="Aptos" w:cstheme="minorHAnsi"/>
          <w:shd w:val="clear" w:color="auto" w:fill="FFFFFF" w:themeFill="background1"/>
        </w:rPr>
        <w:t>5</w:t>
      </w:r>
      <w:r w:rsidRPr="00A16BD0">
        <w:rPr>
          <w:rFonts w:ascii="Aptos" w:hAnsi="Aptos" w:cstheme="minorHAnsi"/>
          <w:shd w:val="clear" w:color="auto" w:fill="FFFFFF" w:themeFill="background1"/>
        </w:rPr>
        <w:t>% in the fourth year of implementation</w:t>
      </w:r>
      <w:r w:rsidRPr="00A16BD0">
        <w:rPr>
          <w:rFonts w:ascii="Aptos" w:hAnsi="Aptos" w:cstheme="minorHAnsi"/>
        </w:rPr>
        <w:t>.</w:t>
      </w:r>
      <w:r>
        <w:rPr>
          <w:rFonts w:ascii="Aptos" w:hAnsi="Aptos" w:cstheme="minorHAnsi"/>
        </w:rPr>
        <w:t xml:space="preserve"> </w:t>
      </w:r>
    </w:p>
    <w:p w14:paraId="37B886D9" w14:textId="6846917C" w:rsidR="00E236E0" w:rsidRPr="005201B2" w:rsidRDefault="00E236E0" w:rsidP="00046EF6">
      <w:pPr>
        <w:pStyle w:val="ListParagraph"/>
        <w:numPr>
          <w:ilvl w:val="1"/>
          <w:numId w:val="1"/>
        </w:numPr>
        <w:spacing w:after="0"/>
        <w:rPr>
          <w:rFonts w:ascii="Aptos" w:hAnsi="Aptos" w:cstheme="minorHAnsi"/>
        </w:rPr>
      </w:pPr>
      <w:bookmarkStart w:id="4" w:name="_Hlk209622238"/>
      <w:r w:rsidRPr="005201B2">
        <w:rPr>
          <w:rFonts w:ascii="Aptos" w:hAnsi="Aptos" w:cstheme="minorHAnsi"/>
        </w:rPr>
        <w:t>The average number of pages for the summaries was approximately 1.6 pages the fifth year of implementation with a range of .5 to 2.5 pages, the same as the fourth year of implementation.</w:t>
      </w:r>
      <w:r w:rsidRPr="005201B2" w:rsidDel="00C9086A">
        <w:rPr>
          <w:rFonts w:ascii="Aptos" w:hAnsi="Aptos" w:cstheme="minorHAnsi"/>
        </w:rPr>
        <w:t xml:space="preserve"> </w:t>
      </w:r>
    </w:p>
    <w:bookmarkEnd w:id="4"/>
    <w:p w14:paraId="3D1A16B6" w14:textId="0A9F9477" w:rsidR="00E236E0" w:rsidRDefault="00E236E0" w:rsidP="00046EF6"/>
    <w:p w14:paraId="2CE622D4" w14:textId="108338D3" w:rsidR="00E236E0" w:rsidRPr="00602527" w:rsidRDefault="00E236E0" w:rsidP="00046EF6">
      <w:pPr>
        <w:pStyle w:val="ListParagraph"/>
        <w:numPr>
          <w:ilvl w:val="0"/>
          <w:numId w:val="1"/>
        </w:numPr>
        <w:rPr>
          <w:rFonts w:ascii="Aptos" w:hAnsi="Aptos" w:cstheme="minorHAnsi"/>
          <w:b/>
          <w:bCs/>
          <w:sz w:val="24"/>
          <w:szCs w:val="24"/>
        </w:rPr>
      </w:pPr>
      <w:r w:rsidRPr="00602527">
        <w:rPr>
          <w:rFonts w:ascii="Aptos" w:hAnsi="Aptos" w:cstheme="minorHAnsi"/>
          <w:b/>
          <w:bCs/>
          <w:sz w:val="24"/>
          <w:szCs w:val="24"/>
        </w:rPr>
        <w:t>Headings are being used, but they are often very generic.</w:t>
      </w:r>
    </w:p>
    <w:p w14:paraId="13D2E946" w14:textId="79471582" w:rsidR="00E236E0" w:rsidRPr="00635338" w:rsidRDefault="00E236E0" w:rsidP="00046EF6">
      <w:pPr>
        <w:pStyle w:val="ListParagraph"/>
        <w:rPr>
          <w:rFonts w:ascii="Aptos" w:hAnsi="Aptos" w:cstheme="minorHAnsi"/>
          <w:b/>
          <w:bCs/>
        </w:rPr>
      </w:pPr>
    </w:p>
    <w:p w14:paraId="1D4BD622" w14:textId="3352ACCF" w:rsidR="00E236E0" w:rsidRPr="005161F2" w:rsidRDefault="00E236E0" w:rsidP="00046EF6">
      <w:pPr>
        <w:pStyle w:val="ListParagraph"/>
        <w:numPr>
          <w:ilvl w:val="1"/>
          <w:numId w:val="1"/>
        </w:numPr>
        <w:rPr>
          <w:rFonts w:ascii="Aptos" w:hAnsi="Aptos"/>
          <w:b/>
          <w:bCs/>
        </w:rPr>
      </w:pPr>
      <w:r w:rsidRPr="006238D3">
        <w:rPr>
          <w:rFonts w:ascii="Aptos" w:hAnsi="Aptos" w:cstheme="minorHAnsi"/>
          <w:shd w:val="clear" w:color="auto" w:fill="FFFFFF" w:themeFill="background1"/>
        </w:rPr>
        <w:t>Over 50% of companies used</w:t>
      </w:r>
      <w:r w:rsidRPr="00635338">
        <w:rPr>
          <w:rFonts w:ascii="Aptos" w:hAnsi="Aptos" w:cstheme="minorHAnsi"/>
        </w:rPr>
        <w:t xml:space="preserve"> the same number of headings all </w:t>
      </w:r>
      <w:r>
        <w:rPr>
          <w:rFonts w:ascii="Aptos" w:hAnsi="Aptos" w:cstheme="minorHAnsi"/>
        </w:rPr>
        <w:t>five</w:t>
      </w:r>
      <w:r w:rsidRPr="00635338">
        <w:rPr>
          <w:rFonts w:ascii="Aptos" w:hAnsi="Aptos" w:cstheme="minorHAnsi"/>
        </w:rPr>
        <w:t xml:space="preserve"> years of implementation. </w:t>
      </w:r>
    </w:p>
    <w:p w14:paraId="3E3705B4" w14:textId="70ACFF41" w:rsidR="00E236E0" w:rsidRPr="004011CD" w:rsidRDefault="00E236E0" w:rsidP="004011CD">
      <w:pPr>
        <w:pStyle w:val="ListParagraph"/>
        <w:numPr>
          <w:ilvl w:val="1"/>
          <w:numId w:val="1"/>
        </w:numPr>
        <w:rPr>
          <w:rFonts w:ascii="Aptos" w:hAnsi="Aptos"/>
          <w:b/>
          <w:bCs/>
        </w:rPr>
      </w:pPr>
      <w:r w:rsidRPr="005161F2">
        <w:rPr>
          <w:rFonts w:ascii="Aptos" w:hAnsi="Aptos" w:cstheme="minorHAnsi"/>
        </w:rPr>
        <w:t>The average number of headings per company was five all f</w:t>
      </w:r>
      <w:r>
        <w:rPr>
          <w:rFonts w:ascii="Aptos" w:hAnsi="Aptos" w:cstheme="minorHAnsi"/>
        </w:rPr>
        <w:t xml:space="preserve">ive </w:t>
      </w:r>
      <w:r w:rsidRPr="005161F2">
        <w:rPr>
          <w:rFonts w:ascii="Aptos" w:hAnsi="Aptos" w:cstheme="minorHAnsi"/>
        </w:rPr>
        <w:t>years of implementation</w:t>
      </w:r>
      <w:r>
        <w:rPr>
          <w:rFonts w:ascii="Aptos" w:hAnsi="Aptos" w:cstheme="minorHAnsi"/>
        </w:rPr>
        <w:t xml:space="preserve">. </w:t>
      </w:r>
    </w:p>
    <w:p w14:paraId="5FE299BD" w14:textId="0345C497" w:rsidR="00E236E0" w:rsidRPr="003200B2" w:rsidRDefault="00E236E0" w:rsidP="00E236E0">
      <w:pPr>
        <w:spacing w:after="0" w:line="240" w:lineRule="auto"/>
        <w:rPr>
          <w:rFonts w:ascii="Aptos" w:hAnsi="Aptos" w:cstheme="minorHAnsi"/>
          <w:sz w:val="20"/>
          <w:szCs w:val="20"/>
        </w:rPr>
      </w:pPr>
    </w:p>
    <w:p w14:paraId="1330DAAE" w14:textId="622E409D" w:rsidR="00E236E0" w:rsidRPr="00BD54DC" w:rsidRDefault="004011CD" w:rsidP="004011CD">
      <w:pPr>
        <w:spacing w:line="240" w:lineRule="auto"/>
        <w:jc w:val="center"/>
        <w:rPr>
          <w:rFonts w:ascii="Aptos" w:hAnsi="Aptos" w:cstheme="minorHAnsi"/>
          <w:b/>
          <w:bCs/>
        </w:rPr>
      </w:pPr>
      <w:r>
        <w:rPr>
          <w:rFonts w:ascii="Aptos" w:hAnsi="Aptos" w:cstheme="minorHAnsi"/>
          <w:b/>
          <w:bCs/>
          <w:noProof/>
        </w:rPr>
        <w:drawing>
          <wp:inline distT="0" distB="0" distL="0" distR="0" wp14:anchorId="3D287439" wp14:editId="325D964D">
            <wp:extent cx="5689600" cy="3113476"/>
            <wp:effectExtent l="0" t="0" r="0" b="0"/>
            <wp:docPr id="1589562754" name="Picture 8" descr="A graph with numbers and text&#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9562754" name="Picture 8" descr="A graph with numbers and text&#10;"/>
                    <pic:cNvPicPr/>
                  </pic:nvPicPr>
                  <pic:blipFill>
                    <a:blip r:embed="rId22">
                      <a:extLst>
                        <a:ext uri="{28A0092B-C50C-407E-A947-70E740481C1C}">
                          <a14:useLocalDpi xmlns:a14="http://schemas.microsoft.com/office/drawing/2010/main" val="0"/>
                        </a:ext>
                      </a:extLst>
                    </a:blip>
                    <a:stretch>
                      <a:fillRect/>
                    </a:stretch>
                  </pic:blipFill>
                  <pic:spPr>
                    <a:xfrm>
                      <a:off x="0" y="0"/>
                      <a:ext cx="5736467" cy="3139123"/>
                    </a:xfrm>
                    <a:prstGeom prst="rect">
                      <a:avLst/>
                    </a:prstGeom>
                  </pic:spPr>
                </pic:pic>
              </a:graphicData>
            </a:graphic>
          </wp:inline>
        </w:drawing>
      </w:r>
    </w:p>
    <w:p w14:paraId="5441F1B8" w14:textId="2C5C0B67" w:rsidR="00E236E0" w:rsidRPr="00891D8F" w:rsidRDefault="004011CD" w:rsidP="00E236E0">
      <w:pPr>
        <w:spacing w:line="240" w:lineRule="auto"/>
        <w:rPr>
          <w:rFonts w:ascii="Aptos" w:hAnsi="Aptos" w:cstheme="minorHAnsi"/>
          <w:b/>
          <w:bCs/>
          <w:sz w:val="20"/>
          <w:szCs w:val="20"/>
        </w:rPr>
      </w:pPr>
      <w:r>
        <w:rPr>
          <w:rFonts w:ascii="Aptos" w:hAnsi="Aptos" w:cstheme="minorHAnsi"/>
          <w:noProof/>
        </w:rPr>
        <w:drawing>
          <wp:anchor distT="0" distB="0" distL="114300" distR="114300" simplePos="0" relativeHeight="251671552" behindDoc="0" locked="0" layoutInCell="1" allowOverlap="1" wp14:anchorId="7E759CE8" wp14:editId="67410442">
            <wp:simplePos x="0" y="0"/>
            <wp:positionH relativeFrom="column">
              <wp:posOffset>-937895</wp:posOffset>
            </wp:positionH>
            <wp:positionV relativeFrom="paragraph">
              <wp:posOffset>163195</wp:posOffset>
            </wp:positionV>
            <wp:extent cx="7795260" cy="2666365"/>
            <wp:effectExtent l="0" t="0" r="2540" b="635"/>
            <wp:wrapNone/>
            <wp:docPr id="238142299" name="Picture 7" descr="Aerial view of a port with boats and a lot of contain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8142299" name="Picture 7" descr="Aerial view of a port with boats and a lot of containers"/>
                    <pic:cNvPicPr/>
                  </pic:nvPicPr>
                  <pic:blipFill rotWithShape="1">
                    <a:blip r:embed="rId23" cstate="print">
                      <a:extLst>
                        <a:ext uri="{28A0092B-C50C-407E-A947-70E740481C1C}">
                          <a14:useLocalDpi xmlns:a14="http://schemas.microsoft.com/office/drawing/2010/main" val="0"/>
                        </a:ext>
                      </a:extLst>
                    </a:blip>
                    <a:srcRect l="-309" t="45116" r="309" b="3534"/>
                    <a:stretch>
                      <a:fillRect/>
                    </a:stretch>
                  </pic:blipFill>
                  <pic:spPr bwMode="auto">
                    <a:xfrm>
                      <a:off x="0" y="0"/>
                      <a:ext cx="7795260" cy="266636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E236E0" w:rsidRPr="00891D8F">
        <w:rPr>
          <w:rFonts w:ascii="Aptos" w:hAnsi="Aptos"/>
          <w:noProof/>
        </w:rPr>
        <w:t xml:space="preserve">  </w:t>
      </w:r>
    </w:p>
    <w:p w14:paraId="00E2F5A4" w14:textId="74BD3D99" w:rsidR="00E236E0" w:rsidRPr="00891D8F" w:rsidRDefault="00E236E0" w:rsidP="00E236E0">
      <w:pPr>
        <w:spacing w:line="240" w:lineRule="auto"/>
        <w:rPr>
          <w:rFonts w:ascii="Aptos" w:hAnsi="Aptos" w:cstheme="minorHAnsi"/>
          <w:b/>
          <w:bCs/>
          <w:sz w:val="20"/>
          <w:szCs w:val="20"/>
        </w:rPr>
      </w:pPr>
      <w:r w:rsidRPr="00891D8F">
        <w:rPr>
          <w:rFonts w:ascii="Aptos" w:hAnsi="Aptos" w:cstheme="minorHAnsi"/>
          <w:iCs/>
          <w:sz w:val="16"/>
          <w:szCs w:val="16"/>
        </w:rPr>
        <w:t xml:space="preserve"> </w:t>
      </w:r>
      <w:r w:rsidRPr="00891D8F">
        <w:rPr>
          <w:rFonts w:ascii="Aptos" w:hAnsi="Aptos" w:cstheme="minorHAnsi"/>
          <w:iCs/>
          <w:sz w:val="16"/>
          <w:szCs w:val="16"/>
        </w:rPr>
        <w:tab/>
      </w:r>
      <w:r w:rsidRPr="00891D8F">
        <w:rPr>
          <w:rFonts w:ascii="Aptos" w:hAnsi="Aptos" w:cstheme="minorHAnsi"/>
          <w:iCs/>
          <w:sz w:val="16"/>
          <w:szCs w:val="16"/>
        </w:rPr>
        <w:tab/>
      </w:r>
      <w:r w:rsidRPr="00891D8F">
        <w:rPr>
          <w:rFonts w:ascii="Aptos" w:hAnsi="Aptos" w:cstheme="minorHAnsi"/>
          <w:iCs/>
          <w:sz w:val="16"/>
          <w:szCs w:val="16"/>
        </w:rPr>
        <w:tab/>
      </w:r>
      <w:r w:rsidRPr="00891D8F">
        <w:rPr>
          <w:rFonts w:ascii="Aptos" w:hAnsi="Aptos" w:cstheme="minorHAnsi"/>
          <w:iCs/>
          <w:sz w:val="16"/>
          <w:szCs w:val="16"/>
        </w:rPr>
        <w:tab/>
      </w:r>
    </w:p>
    <w:p w14:paraId="1DF6473B" w14:textId="08B0C88E" w:rsidR="00E236E0" w:rsidRDefault="00E236E0" w:rsidP="00E236E0">
      <w:pPr>
        <w:pStyle w:val="ListParagraph"/>
        <w:spacing w:line="240" w:lineRule="auto"/>
        <w:ind w:left="1170"/>
        <w:rPr>
          <w:rFonts w:ascii="Aptos" w:hAnsi="Aptos" w:cstheme="minorHAnsi"/>
          <w:b/>
          <w:bCs/>
          <w:sz w:val="20"/>
          <w:szCs w:val="20"/>
        </w:rPr>
      </w:pPr>
    </w:p>
    <w:p w14:paraId="0C17742F" w14:textId="646FD963" w:rsidR="00E236E0" w:rsidRDefault="00E236E0" w:rsidP="00E236E0">
      <w:pPr>
        <w:pStyle w:val="ListParagraph"/>
        <w:spacing w:line="240" w:lineRule="auto"/>
        <w:ind w:left="1170"/>
        <w:rPr>
          <w:rFonts w:ascii="Aptos" w:hAnsi="Aptos" w:cstheme="minorHAnsi"/>
          <w:b/>
          <w:bCs/>
          <w:sz w:val="20"/>
          <w:szCs w:val="20"/>
        </w:rPr>
      </w:pPr>
    </w:p>
    <w:p w14:paraId="7AD0F491" w14:textId="062F4734" w:rsidR="00E236E0" w:rsidRDefault="00E236E0" w:rsidP="00E236E0">
      <w:pPr>
        <w:pStyle w:val="ListParagraph"/>
        <w:spacing w:line="240" w:lineRule="auto"/>
        <w:ind w:left="1170"/>
        <w:rPr>
          <w:rFonts w:ascii="Aptos" w:hAnsi="Aptos" w:cstheme="minorHAnsi"/>
          <w:b/>
          <w:bCs/>
          <w:sz w:val="20"/>
          <w:szCs w:val="20"/>
        </w:rPr>
      </w:pPr>
    </w:p>
    <w:p w14:paraId="3D435DCB" w14:textId="25AA13F1" w:rsidR="00E236E0" w:rsidRDefault="00E236E0" w:rsidP="00E236E0">
      <w:pPr>
        <w:spacing w:line="240" w:lineRule="auto"/>
        <w:rPr>
          <w:rFonts w:ascii="Aptos" w:hAnsi="Aptos" w:cstheme="minorHAnsi"/>
          <w:b/>
          <w:bCs/>
          <w:sz w:val="20"/>
          <w:szCs w:val="20"/>
        </w:rPr>
      </w:pPr>
    </w:p>
    <w:p w14:paraId="5C72013F" w14:textId="191FAF0C" w:rsidR="00E236E0" w:rsidRDefault="00E236E0" w:rsidP="00E236E0">
      <w:pPr>
        <w:spacing w:line="240" w:lineRule="auto"/>
        <w:rPr>
          <w:rFonts w:ascii="Aptos" w:hAnsi="Aptos" w:cstheme="minorHAnsi"/>
          <w:b/>
          <w:bCs/>
          <w:sz w:val="20"/>
          <w:szCs w:val="20"/>
        </w:rPr>
      </w:pPr>
    </w:p>
    <w:p w14:paraId="1CA6B930" w14:textId="18E72946" w:rsidR="00E236E0" w:rsidRPr="003200B2" w:rsidRDefault="00E236E0" w:rsidP="00E236E0">
      <w:pPr>
        <w:spacing w:line="240" w:lineRule="auto"/>
        <w:rPr>
          <w:rFonts w:ascii="Aptos" w:hAnsi="Aptos" w:cstheme="minorHAnsi"/>
          <w:b/>
          <w:bCs/>
          <w:sz w:val="20"/>
          <w:szCs w:val="20"/>
        </w:rPr>
      </w:pPr>
    </w:p>
    <w:p w14:paraId="431B1E1C" w14:textId="5FA76870" w:rsidR="00E236E0" w:rsidRPr="003200B2" w:rsidRDefault="00E236E0" w:rsidP="00046EF6">
      <w:pPr>
        <w:pStyle w:val="ListParagraph"/>
        <w:numPr>
          <w:ilvl w:val="0"/>
          <w:numId w:val="5"/>
        </w:numPr>
        <w:shd w:val="clear" w:color="auto" w:fill="FFFFFF" w:themeFill="background1"/>
        <w:ind w:left="1080"/>
        <w:rPr>
          <w:rFonts w:ascii="Aptos" w:hAnsi="Aptos"/>
          <w:b/>
          <w:bCs/>
          <w:color w:val="EE0000"/>
        </w:rPr>
      </w:pPr>
      <w:r w:rsidRPr="005201B2">
        <w:rPr>
          <w:rFonts w:ascii="Aptos" w:hAnsi="Aptos" w:cstheme="minorHAnsi"/>
        </w:rPr>
        <w:lastRenderedPageBreak/>
        <w:t>The average number of risk factors per heading was six all five years of implementation. Seventy-five companies had significantly more—20 to as many as 54 risk factors under one heading during the fifth year of implementation. One of those 75 companies had two headings with 20 or more risk factors.</w:t>
      </w:r>
    </w:p>
    <w:p w14:paraId="025EF071" w14:textId="19FBE889" w:rsidR="00E236E0" w:rsidRDefault="004011CD" w:rsidP="004011CD">
      <w:pPr>
        <w:shd w:val="clear" w:color="auto" w:fill="FFFFFF" w:themeFill="background1"/>
        <w:spacing w:line="240" w:lineRule="auto"/>
        <w:jc w:val="center"/>
        <w:rPr>
          <w:rFonts w:ascii="Aptos" w:hAnsi="Aptos"/>
          <w:b/>
          <w:bCs/>
          <w:color w:val="EE0000"/>
        </w:rPr>
      </w:pPr>
      <w:r>
        <w:rPr>
          <w:rFonts w:ascii="Aptos" w:hAnsi="Aptos"/>
          <w:b/>
          <w:bCs/>
          <w:noProof/>
          <w:color w:val="EE0000"/>
        </w:rPr>
        <w:drawing>
          <wp:inline distT="0" distB="0" distL="0" distR="0" wp14:anchorId="70147C59" wp14:editId="391852E1">
            <wp:extent cx="5581650" cy="2951834"/>
            <wp:effectExtent l="0" t="0" r="0" b="0"/>
            <wp:docPr id="1848653269" name="Picture 10" descr="A graph of a number of risk factors&#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8653269" name="Picture 10" descr="A graph of a number of risk factors&#10;"/>
                    <pic:cNvPicPr/>
                  </pic:nvPicPr>
                  <pic:blipFill>
                    <a:blip r:embed="rId24">
                      <a:extLst>
                        <a:ext uri="{28A0092B-C50C-407E-A947-70E740481C1C}">
                          <a14:useLocalDpi xmlns:a14="http://schemas.microsoft.com/office/drawing/2010/main" val="0"/>
                        </a:ext>
                      </a:extLst>
                    </a:blip>
                    <a:stretch>
                      <a:fillRect/>
                    </a:stretch>
                  </pic:blipFill>
                  <pic:spPr>
                    <a:xfrm>
                      <a:off x="0" y="0"/>
                      <a:ext cx="5629309" cy="2977038"/>
                    </a:xfrm>
                    <a:prstGeom prst="rect">
                      <a:avLst/>
                    </a:prstGeom>
                  </pic:spPr>
                </pic:pic>
              </a:graphicData>
            </a:graphic>
          </wp:inline>
        </w:drawing>
      </w:r>
    </w:p>
    <w:p w14:paraId="0F3AD17B" w14:textId="557A6D5D" w:rsidR="00E236E0" w:rsidRPr="00046EF6" w:rsidRDefault="00E236E0" w:rsidP="00046EF6">
      <w:pPr>
        <w:numPr>
          <w:ilvl w:val="1"/>
          <w:numId w:val="1"/>
        </w:numPr>
        <w:contextualSpacing/>
        <w:rPr>
          <w:rFonts w:ascii="Aptos" w:hAnsi="Aptos" w:cstheme="minorHAnsi"/>
          <w:b/>
          <w:bCs/>
          <w:color w:val="000000" w:themeColor="text1"/>
        </w:rPr>
      </w:pPr>
      <w:r w:rsidRPr="00046EF6">
        <w:rPr>
          <w:rFonts w:ascii="Aptos" w:hAnsi="Aptos" w:cstheme="minorHAnsi"/>
          <w:color w:val="000000" w:themeColor="text1"/>
        </w:rPr>
        <w:t xml:space="preserve">The most common heading categories this fifth year of implementation were variants of legal, regulatory, and compliance; business; operational; financial; cybersecurity, information technology, data security, privacy; common stock; economic and macroeconomic conditions; indebtedness; strategic transactions; industry; strategic; human capital; intellectual property; market; international operations; and tax and accounting.  </w:t>
      </w:r>
    </w:p>
    <w:p w14:paraId="5E831887" w14:textId="5EC9DA25" w:rsidR="00E236E0" w:rsidRPr="00046EF6" w:rsidRDefault="00E236E0" w:rsidP="00046EF6">
      <w:pPr>
        <w:ind w:left="1080"/>
        <w:contextualSpacing/>
        <w:rPr>
          <w:rFonts w:ascii="Aptos" w:hAnsi="Aptos" w:cstheme="minorHAnsi"/>
          <w:b/>
          <w:bCs/>
          <w:color w:val="000000" w:themeColor="text1"/>
        </w:rPr>
      </w:pPr>
    </w:p>
    <w:p w14:paraId="6650D067" w14:textId="7EE009F2" w:rsidR="00E236E0" w:rsidRPr="00046EF6" w:rsidRDefault="00E236E0" w:rsidP="00046EF6">
      <w:pPr>
        <w:numPr>
          <w:ilvl w:val="0"/>
          <w:numId w:val="1"/>
        </w:numPr>
        <w:contextualSpacing/>
        <w:rPr>
          <w:rFonts w:ascii="Aptos" w:hAnsi="Aptos"/>
          <w:b/>
          <w:bCs/>
          <w:color w:val="000000" w:themeColor="text1"/>
          <w:sz w:val="24"/>
          <w:szCs w:val="24"/>
        </w:rPr>
      </w:pPr>
      <w:r w:rsidRPr="00046EF6">
        <w:rPr>
          <w:rFonts w:ascii="Aptos" w:hAnsi="Aptos"/>
          <w:b/>
          <w:bCs/>
          <w:color w:val="000000" w:themeColor="text1"/>
          <w:sz w:val="24"/>
          <w:szCs w:val="24"/>
        </w:rPr>
        <w:t>Nearly one-third of companies used a “general risk factors” heading during each of the past five years, contrary to the SEC’s advice.</w:t>
      </w:r>
      <w:r w:rsidRPr="00046EF6" w:rsidDel="00F14845">
        <w:rPr>
          <w:rFonts w:ascii="Aptos" w:hAnsi="Aptos"/>
          <w:b/>
          <w:bCs/>
          <w:color w:val="000000" w:themeColor="text1"/>
          <w:sz w:val="24"/>
          <w:szCs w:val="24"/>
          <w:vertAlign w:val="superscript"/>
        </w:rPr>
        <w:endnoteReference w:id="3"/>
      </w:r>
      <w:r w:rsidRPr="00046EF6">
        <w:rPr>
          <w:rFonts w:ascii="Aptos" w:hAnsi="Aptos"/>
          <w:b/>
          <w:bCs/>
          <w:color w:val="000000" w:themeColor="text1"/>
          <w:sz w:val="24"/>
          <w:szCs w:val="24"/>
        </w:rPr>
        <w:t xml:space="preserve"> </w:t>
      </w:r>
    </w:p>
    <w:p w14:paraId="4557E5B2" w14:textId="41DF38FB" w:rsidR="00E236E0" w:rsidRPr="00046EF6" w:rsidRDefault="00E236E0" w:rsidP="00046EF6">
      <w:pPr>
        <w:contextualSpacing/>
        <w:rPr>
          <w:rFonts w:ascii="Aptos" w:hAnsi="Aptos"/>
          <w:color w:val="000000" w:themeColor="text1"/>
        </w:rPr>
      </w:pPr>
    </w:p>
    <w:p w14:paraId="5813B52E" w14:textId="0C622196" w:rsidR="00E236E0" w:rsidRPr="00046EF6" w:rsidRDefault="00E236E0" w:rsidP="00046EF6">
      <w:pPr>
        <w:numPr>
          <w:ilvl w:val="1"/>
          <w:numId w:val="1"/>
        </w:numPr>
        <w:contextualSpacing/>
        <w:rPr>
          <w:rFonts w:ascii="Aptos" w:hAnsi="Aptos" w:cstheme="minorHAnsi"/>
          <w:color w:val="000000" w:themeColor="text1"/>
        </w:rPr>
      </w:pPr>
      <w:r w:rsidRPr="00046EF6">
        <w:rPr>
          <w:rFonts w:ascii="Aptos" w:hAnsi="Aptos" w:cstheme="minorHAnsi"/>
          <w:color w:val="000000" w:themeColor="text1"/>
        </w:rPr>
        <w:t>Companies used an average of approximately five risk factors under the general risk factors heading all five years of implementation and a range of one to 17 during the fifth year.</w:t>
      </w:r>
    </w:p>
    <w:p w14:paraId="7BCBF93D" w14:textId="63B8669A" w:rsidR="00E236E0" w:rsidRPr="00A60AC8" w:rsidRDefault="00D92AD1" w:rsidP="00A60AC8">
      <w:pPr>
        <w:pStyle w:val="ListParagraph"/>
        <w:spacing w:line="240" w:lineRule="auto"/>
        <w:ind w:left="1170"/>
        <w:rPr>
          <w:rFonts w:ascii="Aptos" w:hAnsi="Aptos" w:cstheme="minorHAnsi"/>
          <w:b/>
          <w:bCs/>
          <w:sz w:val="20"/>
          <w:szCs w:val="20"/>
        </w:rPr>
      </w:pPr>
      <w:r>
        <w:rPr>
          <w:rFonts w:ascii="Aptos" w:hAnsi="Aptos"/>
          <w:b/>
          <w:bCs/>
          <w:noProof/>
          <w:color w:val="000000" w:themeColor="text1"/>
          <w:sz w:val="24"/>
          <w:szCs w:val="24"/>
        </w:rPr>
        <w:drawing>
          <wp:anchor distT="0" distB="0" distL="114300" distR="114300" simplePos="0" relativeHeight="251670528" behindDoc="0" locked="0" layoutInCell="1" allowOverlap="1" wp14:anchorId="707CBE5A" wp14:editId="17BF2CDC">
            <wp:simplePos x="0" y="0"/>
            <wp:positionH relativeFrom="column">
              <wp:posOffset>-938630</wp:posOffset>
            </wp:positionH>
            <wp:positionV relativeFrom="paragraph">
              <wp:posOffset>85926</wp:posOffset>
            </wp:positionV>
            <wp:extent cx="7766685" cy="2616835"/>
            <wp:effectExtent l="0" t="0" r="5715" b="0"/>
            <wp:wrapNone/>
            <wp:docPr id="1240095856" name="Picture 6" descr="A silhouette of a crane at sunset&#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0095856" name="Picture 6" descr="A silhouette of a crane at sunset&#10;"/>
                    <pic:cNvPicPr/>
                  </pic:nvPicPr>
                  <pic:blipFill rotWithShape="1">
                    <a:blip r:embed="rId25" cstate="print">
                      <a:extLst>
                        <a:ext uri="{28A0092B-C50C-407E-A947-70E740481C1C}">
                          <a14:useLocalDpi xmlns:a14="http://schemas.microsoft.com/office/drawing/2010/main" val="0"/>
                        </a:ext>
                      </a:extLst>
                    </a:blip>
                    <a:srcRect l="-18" t="34402" r="18" b="14717"/>
                    <a:stretch>
                      <a:fillRect/>
                    </a:stretch>
                  </pic:blipFill>
                  <pic:spPr bwMode="auto">
                    <a:xfrm>
                      <a:off x="0" y="0"/>
                      <a:ext cx="7766685" cy="261683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E236E0">
        <w:rPr>
          <w:noProof/>
        </w:rPr>
        <mc:AlternateContent>
          <mc:Choice Requires="wps">
            <w:drawing>
              <wp:anchor distT="0" distB="0" distL="114300" distR="114300" simplePos="0" relativeHeight="251664384" behindDoc="0" locked="0" layoutInCell="1" allowOverlap="1" wp14:anchorId="76BB0947" wp14:editId="1ABCB8E7">
                <wp:simplePos x="0" y="0"/>
                <wp:positionH relativeFrom="margin">
                  <wp:posOffset>1615440</wp:posOffset>
                </wp:positionH>
                <wp:positionV relativeFrom="paragraph">
                  <wp:posOffset>68580</wp:posOffset>
                </wp:positionV>
                <wp:extent cx="4160520" cy="236220"/>
                <wp:effectExtent l="0" t="0" r="0" b="0"/>
                <wp:wrapNone/>
                <wp:docPr id="1377429811" name="Rectangle 2"/>
                <wp:cNvGraphicFramePr/>
                <a:graphic xmlns:a="http://schemas.openxmlformats.org/drawingml/2006/main">
                  <a:graphicData uri="http://schemas.microsoft.com/office/word/2010/wordprocessingShape">
                    <wps:wsp>
                      <wps:cNvSpPr/>
                      <wps:spPr>
                        <a:xfrm>
                          <a:off x="0" y="0"/>
                          <a:ext cx="4160520" cy="236220"/>
                        </a:xfrm>
                        <a:prstGeom prst="rect">
                          <a:avLst/>
                        </a:prstGeom>
                        <a:no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2D6D53A7" w14:textId="77777777" w:rsidR="00E236E0" w:rsidRPr="003C3050" w:rsidRDefault="00E236E0" w:rsidP="00E236E0">
                            <w:pPr>
                              <w:spacing w:after="0" w:line="240" w:lineRule="auto"/>
                              <w:jc w:val="right"/>
                              <w:rPr>
                                <w:rFonts w:ascii="Aptos" w:hAnsi="Aptos"/>
                                <w:iCs/>
                                <w:sz w:val="19"/>
                                <w:szCs w:val="23"/>
                              </w:rPr>
                            </w:pPr>
                            <w:r w:rsidRPr="008B6065">
                              <w:rPr>
                                <w:rFonts w:ascii="Aptos" w:hAnsi="Aptos" w:cstheme="minorHAnsi"/>
                                <w:iCs/>
                                <w:sz w:val="16"/>
                                <w:szCs w:val="16"/>
                              </w:rPr>
                              <w:t>Source: Deloitte and USC Marshall Peter Arkley Institute for Risk Management</w:t>
                            </w:r>
                            <w:r w:rsidRPr="008B6065">
                              <w:rPr>
                                <w:rFonts w:ascii="Aptos" w:hAnsi="Aptos"/>
                                <w:i/>
                                <w:iCs/>
                                <w:sz w:val="20"/>
                                <w:szCs w:val="20"/>
                              </w:rPr>
                              <w:t xml:space="preserve"> </w:t>
                            </w:r>
                            <w:r w:rsidRPr="008B6065">
                              <w:rPr>
                                <w:rFonts w:ascii="Aptos" w:hAnsi="Aptos"/>
                                <w:iCs/>
                                <w:sz w:val="16"/>
                                <w:szCs w:val="20"/>
                              </w:rPr>
                              <w:t>Analysis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6BB0947" id="Rectangle 2" o:spid="_x0000_s1026" style="position:absolute;left:0;text-align:left;margin-left:127.2pt;margin-top:5.4pt;width:327.6pt;height:18.6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" filled="f" stroked="f" strokeweight="1pt">
                <v:textbox>
                  <w:txbxContent>
                    <w:p w14:paraId="2D6D53A7" w14:textId="77777777" w:rsidR="00E236E0" w:rsidRPr="003C3050" w:rsidRDefault="00E236E0" w:rsidP="00E236E0">
                      <w:pPr>
                        <w:spacing w:after="0" w:line="240" w:lineRule="auto"/>
                        <w:jc w:val="right"/>
                        <w:rPr>
                          <w:rFonts w:ascii="Aptos" w:hAnsi="Aptos"/>
                          <w:iCs/>
                          <w:sz w:val="19"/>
                          <w:szCs w:val="23"/>
                        </w:rPr>
                      </w:pPr>
                      <w:r w:rsidRPr="008B6065">
                        <w:rPr>
                          <w:rFonts w:ascii="Aptos" w:hAnsi="Aptos" w:cstheme="minorHAnsi"/>
                          <w:iCs/>
                          <w:sz w:val="16"/>
                          <w:szCs w:val="16"/>
                        </w:rPr>
                        <w:t>Source: Deloitte and USC Marshall Peter Arkley Institute for Risk Management</w:t>
                      </w:r>
                      <w:r w:rsidRPr="008B6065">
                        <w:rPr>
                          <w:rFonts w:ascii="Aptos" w:hAnsi="Aptos"/>
                          <w:i/>
                          <w:iCs/>
                          <w:sz w:val="20"/>
                          <w:szCs w:val="20"/>
                        </w:rPr>
                        <w:t xml:space="preserve"> </w:t>
                      </w:r>
                      <w:r w:rsidRPr="008B6065">
                        <w:rPr>
                          <w:rFonts w:ascii="Aptos" w:hAnsi="Aptos"/>
                          <w:iCs/>
                          <w:sz w:val="16"/>
                          <w:szCs w:val="20"/>
                        </w:rPr>
                        <w:t>Analysis</w:t>
                      </w:r>
                    </w:p>
                  </w:txbxContent>
                </v:textbox>
                <w10:wrap anchorx="margin"/>
              </v:rect>
            </w:pict>
          </mc:Fallback>
        </mc:AlternateContent>
      </w:r>
    </w:p>
    <w:p w14:paraId="5B259AB6" w14:textId="24E96E8A" w:rsidR="00E236E0" w:rsidRDefault="00E236E0" w:rsidP="00E236E0">
      <w:pPr>
        <w:spacing w:line="240" w:lineRule="auto"/>
        <w:contextualSpacing/>
        <w:jc w:val="center"/>
        <w:rPr>
          <w:rFonts w:ascii="Aptos" w:hAnsi="Aptos" w:cstheme="minorHAnsi"/>
          <w:b/>
          <w:bCs/>
        </w:rPr>
      </w:pPr>
    </w:p>
    <w:p w14:paraId="4CAD1434" w14:textId="7EF7E1E6" w:rsidR="00E236E0" w:rsidRPr="00046EF6" w:rsidRDefault="004011CD" w:rsidP="00A60AC8">
      <w:pPr>
        <w:contextualSpacing/>
        <w:jc w:val="center"/>
        <w:rPr>
          <w:rFonts w:ascii="Aptos" w:hAnsi="Aptos" w:cstheme="minorHAnsi"/>
          <w:b/>
          <w:bCs/>
          <w:color w:val="000000" w:themeColor="text1"/>
        </w:rPr>
      </w:pPr>
      <w:r>
        <w:rPr>
          <w:rFonts w:ascii="Aptos" w:hAnsi="Aptos" w:cstheme="minorHAnsi"/>
          <w:b/>
          <w:bCs/>
          <w:noProof/>
          <w:color w:val="000000" w:themeColor="text1"/>
        </w:rPr>
        <w:lastRenderedPageBreak/>
        <w:drawing>
          <wp:inline distT="0" distB="0" distL="0" distR="0" wp14:anchorId="064582FA" wp14:editId="1B814941">
            <wp:extent cx="5943600" cy="3190240"/>
            <wp:effectExtent l="0" t="0" r="0" b="0"/>
            <wp:docPr id="1358825835" name="Picture 9" descr="A graph of a number of risk factors&#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8825835" name="Picture 9" descr="A graph of a number of risk factors&#10;"/>
                    <pic:cNvPicPr/>
                  </pic:nvPicPr>
                  <pic:blipFill>
                    <a:blip r:embed="rId26">
                      <a:extLst>
                        <a:ext uri="{28A0092B-C50C-407E-A947-70E740481C1C}">
                          <a14:useLocalDpi xmlns:a14="http://schemas.microsoft.com/office/drawing/2010/main" val="0"/>
                        </a:ext>
                      </a:extLst>
                    </a:blip>
                    <a:stretch>
                      <a:fillRect/>
                    </a:stretch>
                  </pic:blipFill>
                  <pic:spPr>
                    <a:xfrm>
                      <a:off x="0" y="0"/>
                      <a:ext cx="5943600" cy="3190240"/>
                    </a:xfrm>
                    <a:prstGeom prst="rect">
                      <a:avLst/>
                    </a:prstGeom>
                  </pic:spPr>
                </pic:pic>
              </a:graphicData>
            </a:graphic>
          </wp:inline>
        </w:drawing>
      </w:r>
    </w:p>
    <w:p w14:paraId="230F5728" w14:textId="0ACD5F3A" w:rsidR="00046EF6" w:rsidRPr="00046EF6" w:rsidRDefault="00E236E0" w:rsidP="00046EF6">
      <w:pPr>
        <w:pStyle w:val="ListParagraph"/>
        <w:numPr>
          <w:ilvl w:val="0"/>
          <w:numId w:val="3"/>
        </w:numPr>
        <w:spacing w:after="0"/>
        <w:rPr>
          <w:rFonts w:ascii="Aptos" w:hAnsi="Aptos" w:cstheme="minorHAnsi"/>
          <w:bCs/>
          <w:color w:val="000000" w:themeColor="text1"/>
        </w:rPr>
      </w:pPr>
      <w:r w:rsidRPr="00046EF6">
        <w:rPr>
          <w:rFonts w:ascii="Aptos" w:hAnsi="Aptos" w:cstheme="minorHAnsi"/>
          <w:color w:val="000000" w:themeColor="text1"/>
        </w:rPr>
        <w:t>The most common risk factors included under the general risk factors heading during this fifth year of implementation were natural and man-made disasters/catastrophes; economic conditions; recruitment and retention of talent/key personnel; stock price volatility; litigation; climate change; cybersecurity; financial reporting internal control weakness; tax law and regulation changes; dividends and stock repurchases; and reputation.</w:t>
      </w:r>
    </w:p>
    <w:p w14:paraId="6A11653E" w14:textId="2EFE18D6" w:rsidR="00046EF6" w:rsidRDefault="00046EF6" w:rsidP="00046EF6">
      <w:pPr>
        <w:pStyle w:val="Heading1"/>
        <w:rPr>
          <w:rFonts w:ascii="Aptos" w:hAnsi="Aptos"/>
          <w:color w:val="990000"/>
        </w:rPr>
      </w:pPr>
      <w:r>
        <w:rPr>
          <w:rFonts w:ascii="Aptos" w:hAnsi="Aptos"/>
          <w:color w:val="990000"/>
        </w:rPr>
        <w:t>Insights on quarterly report risk factors updates</w:t>
      </w:r>
    </w:p>
    <w:p w14:paraId="53D2C7C9" w14:textId="184EB79E" w:rsidR="00E236E0" w:rsidRPr="00046EF6" w:rsidRDefault="00E236E0" w:rsidP="00046EF6">
      <w:pPr>
        <w:pStyle w:val="Heading1"/>
        <w:rPr>
          <w:rFonts w:asciiTheme="minorHAnsi" w:hAnsiTheme="minorHAnsi"/>
          <w:color w:val="990000"/>
          <w:sz w:val="22"/>
          <w:szCs w:val="22"/>
        </w:rPr>
      </w:pPr>
      <w:r w:rsidRPr="00046EF6">
        <w:rPr>
          <w:rFonts w:asciiTheme="minorHAnsi" w:hAnsiTheme="minorHAnsi" w:cs="Calibri"/>
          <w:color w:val="000000" w:themeColor="text1"/>
          <w:sz w:val="22"/>
          <w:szCs w:val="22"/>
        </w:rPr>
        <w:t>The first months of the second Trump Administration have been highly dynamic with several executive orders issued on trade policy, including tariffs which have often inspired reciprocal tariffs from other countries.</w:t>
      </w:r>
      <w:r w:rsidRPr="00046EF6">
        <w:rPr>
          <w:rFonts w:asciiTheme="minorHAnsi" w:hAnsiTheme="minorHAnsi" w:cs="Calibri"/>
          <w:color w:val="000000" w:themeColor="text1"/>
          <w:sz w:val="22"/>
          <w:szCs w:val="22"/>
          <w:vertAlign w:val="superscript"/>
        </w:rPr>
        <w:endnoteReference w:id="4"/>
      </w:r>
      <w:r w:rsidRPr="00046EF6">
        <w:rPr>
          <w:rFonts w:asciiTheme="minorHAnsi" w:hAnsiTheme="minorHAnsi" w:cs="Calibri"/>
          <w:color w:val="000000" w:themeColor="text1"/>
          <w:sz w:val="22"/>
          <w:szCs w:val="22"/>
        </w:rPr>
        <w:t xml:space="preserve"> Amidst this environment,</w:t>
      </w:r>
      <w:r w:rsidR="00046EF6" w:rsidRPr="00046EF6">
        <w:rPr>
          <w:rFonts w:asciiTheme="minorHAnsi" w:hAnsiTheme="minorHAnsi" w:cs="Calibri"/>
          <w:color w:val="000000" w:themeColor="text1"/>
          <w:sz w:val="22"/>
          <w:szCs w:val="22"/>
        </w:rPr>
        <w:t xml:space="preserve"> </w:t>
      </w:r>
      <w:r w:rsidRPr="00046EF6">
        <w:rPr>
          <w:rFonts w:asciiTheme="minorHAnsi" w:hAnsiTheme="minorHAnsi" w:cs="Calibri"/>
          <w:color w:val="000000" w:themeColor="text1"/>
          <w:sz w:val="22"/>
          <w:szCs w:val="22"/>
        </w:rPr>
        <w:t>many of the S&amp;P 500 companies filed their annual reports disclosing their material risks and a few months later their quarterly reports. SEC regulations require companies to update their annual report risk factor disclosures with any material changes in their quarterly reports.</w:t>
      </w:r>
      <w:r w:rsidRPr="00046EF6">
        <w:rPr>
          <w:rFonts w:asciiTheme="minorHAnsi" w:hAnsiTheme="minorHAnsi" w:cs="Calibri"/>
          <w:color w:val="000000" w:themeColor="text1"/>
          <w:sz w:val="22"/>
          <w:szCs w:val="22"/>
          <w:vertAlign w:val="superscript"/>
        </w:rPr>
        <w:endnoteReference w:id="5"/>
      </w:r>
    </w:p>
    <w:p w14:paraId="58475803" w14:textId="3E7E8B2C" w:rsidR="00E236E0" w:rsidRPr="00046EF6" w:rsidRDefault="00E236E0" w:rsidP="00046EF6">
      <w:pPr>
        <w:rPr>
          <w:rFonts w:cs="Calibri"/>
          <w:color w:val="000000" w:themeColor="text1"/>
        </w:rPr>
      </w:pPr>
      <w:r w:rsidRPr="00046EF6">
        <w:rPr>
          <w:rFonts w:cs="Calibri"/>
          <w:color w:val="000000" w:themeColor="text1"/>
        </w:rPr>
        <w:t>To understand whether companies updated their risk factors to reflect any material changes, we reviewed the risk factor disclosures in the annual reports filed between November 9, 2024 and May 9, 2025 and the first quarterly reports filed after April 2, 2025</w:t>
      </w:r>
      <w:r w:rsidRPr="00046EF6">
        <w:rPr>
          <w:rFonts w:cs="Calibri"/>
          <w:color w:val="000000" w:themeColor="text1"/>
          <w:vertAlign w:val="superscript"/>
        </w:rPr>
        <w:endnoteReference w:id="6"/>
      </w:r>
      <w:r w:rsidRPr="00046EF6">
        <w:rPr>
          <w:rFonts w:cs="Calibri"/>
          <w:color w:val="000000" w:themeColor="text1"/>
        </w:rPr>
        <w:t xml:space="preserve"> by 427 S&amp;P 500 companies.</w:t>
      </w:r>
      <w:r w:rsidRPr="00046EF6">
        <w:rPr>
          <w:rFonts w:cs="Calibri"/>
          <w:color w:val="000000" w:themeColor="text1"/>
          <w:vertAlign w:val="superscript"/>
        </w:rPr>
        <w:endnoteReference w:id="7"/>
      </w:r>
      <w:r w:rsidRPr="00046EF6">
        <w:rPr>
          <w:rFonts w:cs="Calibri"/>
          <w:color w:val="000000" w:themeColor="text1"/>
        </w:rPr>
        <w:t xml:space="preserve"> </w:t>
      </w:r>
    </w:p>
    <w:p w14:paraId="44085DCE" w14:textId="4E69D4E0" w:rsidR="00E236E0" w:rsidRPr="00046EF6" w:rsidRDefault="00E236E0" w:rsidP="00046EF6">
      <w:pPr>
        <w:rPr>
          <w:rFonts w:cs="Calibri"/>
          <w:color w:val="000000" w:themeColor="text1"/>
        </w:rPr>
      </w:pPr>
      <w:r w:rsidRPr="00046EF6">
        <w:rPr>
          <w:rFonts w:cs="Calibri"/>
          <w:color w:val="000000" w:themeColor="text1"/>
        </w:rPr>
        <w:t xml:space="preserve">In fact, only one-quarter of the 427 companies reviewed reported material changes and updated their risk factor disclosures. </w:t>
      </w:r>
    </w:p>
    <w:p w14:paraId="10038533" w14:textId="2BF51837" w:rsidR="00E236E0" w:rsidRDefault="00E236E0" w:rsidP="00E236E0">
      <w:pPr>
        <w:spacing w:line="240" w:lineRule="auto"/>
        <w:contextualSpacing/>
        <w:jc w:val="center"/>
        <w:rPr>
          <w:rFonts w:ascii="Aptos" w:hAnsi="Aptos" w:cstheme="minorHAnsi"/>
          <w:b/>
          <w:bCs/>
        </w:rPr>
      </w:pPr>
      <w:r>
        <w:rPr>
          <w:noProof/>
        </w:rPr>
        <w:lastRenderedPageBreak/>
        <w:drawing>
          <wp:inline distT="0" distB="0" distL="0" distR="0" wp14:anchorId="59377C12" wp14:editId="05D4D76F">
            <wp:extent cx="5148926" cy="2871989"/>
            <wp:effectExtent l="0" t="0" r="0" b="0"/>
            <wp:docPr id="775980437" name="Picture 1" descr="A green and white graph&#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5980437" name="Picture 1" descr="A green and white graph&#10;"/>
                    <pic:cNvPicPr/>
                  </pic:nvPicPr>
                  <pic:blipFill>
                    <a:blip r:embed="rId27">
                      <a:extLst>
                        <a:ext uri="{28A0092B-C50C-407E-A947-70E740481C1C}">
                          <a14:useLocalDpi xmlns:a14="http://schemas.microsoft.com/office/drawing/2010/main" val="0"/>
                        </a:ext>
                      </a:extLst>
                    </a:blip>
                    <a:stretch>
                      <a:fillRect/>
                    </a:stretch>
                  </pic:blipFill>
                  <pic:spPr>
                    <a:xfrm>
                      <a:off x="0" y="0"/>
                      <a:ext cx="5210491" cy="2906329"/>
                    </a:xfrm>
                    <a:prstGeom prst="rect">
                      <a:avLst/>
                    </a:prstGeom>
                  </pic:spPr>
                </pic:pic>
              </a:graphicData>
            </a:graphic>
          </wp:inline>
        </w:drawing>
      </w:r>
    </w:p>
    <w:p w14:paraId="7219B570" w14:textId="77777777" w:rsidR="00E236E0" w:rsidRDefault="00E236E0" w:rsidP="00E236E0">
      <w:pPr>
        <w:spacing w:line="240" w:lineRule="auto"/>
        <w:contextualSpacing/>
        <w:rPr>
          <w:rFonts w:ascii="Aptos" w:hAnsi="Aptos" w:cstheme="minorHAnsi"/>
          <w:b/>
          <w:bCs/>
        </w:rPr>
      </w:pPr>
    </w:p>
    <w:p w14:paraId="5F528791" w14:textId="28C2DE1C" w:rsidR="00E236E0" w:rsidRPr="00046EF6" w:rsidRDefault="00E236E0" w:rsidP="00046EF6">
      <w:pPr>
        <w:rPr>
          <w:rFonts w:cs="Calibri"/>
          <w:color w:val="000000" w:themeColor="text1"/>
        </w:rPr>
      </w:pPr>
      <w:r w:rsidRPr="00046EF6">
        <w:rPr>
          <w:rFonts w:cs="Calibri"/>
          <w:color w:val="000000" w:themeColor="text1"/>
        </w:rPr>
        <w:t>Of these 94, 30 companies restated their risk factors in their entirety in their quarterly reports.</w:t>
      </w:r>
    </w:p>
    <w:p w14:paraId="7C27A581" w14:textId="0503DFF3" w:rsidR="00E236E0" w:rsidRDefault="00E236E0" w:rsidP="00E236E0">
      <w:pPr>
        <w:spacing w:line="240" w:lineRule="auto"/>
        <w:contextualSpacing/>
        <w:jc w:val="center"/>
        <w:rPr>
          <w:rFonts w:ascii="Aptos" w:hAnsi="Aptos" w:cstheme="minorHAnsi"/>
          <w:b/>
          <w:bCs/>
        </w:rPr>
      </w:pPr>
      <w:r>
        <w:rPr>
          <w:rFonts w:cs="Calibri"/>
          <w:noProof/>
        </w:rPr>
        <w:drawing>
          <wp:inline distT="0" distB="0" distL="0" distR="0" wp14:anchorId="484634A6" wp14:editId="61C34396">
            <wp:extent cx="5109943" cy="2569553"/>
            <wp:effectExtent l="0" t="0" r="0" b="0"/>
            <wp:docPr id="1047463110" name="Picture 2" descr="A green and white graph&#1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7463110" name="Picture 2" descr="A green and white graph&#10;&#10;"/>
                    <pic:cNvPicPr/>
                  </pic:nvPicPr>
                  <pic:blipFill>
                    <a:blip r:embed="rId28">
                      <a:extLst>
                        <a:ext uri="{28A0092B-C50C-407E-A947-70E740481C1C}">
                          <a14:useLocalDpi xmlns:a14="http://schemas.microsoft.com/office/drawing/2010/main" val="0"/>
                        </a:ext>
                      </a:extLst>
                    </a:blip>
                    <a:stretch>
                      <a:fillRect/>
                    </a:stretch>
                  </pic:blipFill>
                  <pic:spPr>
                    <a:xfrm>
                      <a:off x="0" y="0"/>
                      <a:ext cx="5390287" cy="2710525"/>
                    </a:xfrm>
                    <a:prstGeom prst="rect">
                      <a:avLst/>
                    </a:prstGeom>
                  </pic:spPr>
                </pic:pic>
              </a:graphicData>
            </a:graphic>
          </wp:inline>
        </w:drawing>
      </w:r>
    </w:p>
    <w:p w14:paraId="18055248" w14:textId="22EECACF" w:rsidR="00E236E0" w:rsidRDefault="00E236E0" w:rsidP="00E236E0">
      <w:pPr>
        <w:spacing w:line="240" w:lineRule="auto"/>
        <w:contextualSpacing/>
        <w:rPr>
          <w:rFonts w:ascii="Aptos" w:hAnsi="Aptos" w:cstheme="minorHAnsi"/>
          <w:b/>
          <w:bCs/>
        </w:rPr>
      </w:pPr>
    </w:p>
    <w:bookmarkEnd w:id="3"/>
    <w:p w14:paraId="297A13F1" w14:textId="70B6DA67" w:rsidR="00046EF6" w:rsidRPr="00046EF6" w:rsidRDefault="00046EF6" w:rsidP="00046EF6">
      <w:pPr>
        <w:rPr>
          <w:rFonts w:cs="Calibri"/>
          <w:color w:val="000000" w:themeColor="text1"/>
        </w:rPr>
      </w:pPr>
      <w:r w:rsidRPr="00046EF6">
        <w:rPr>
          <w:rFonts w:cs="Calibri"/>
          <w:color w:val="000000" w:themeColor="text1"/>
        </w:rPr>
        <w:t>When these 30 companies restated their risk factors, they amended between six and 44 risk factors as compared to their annual reports. Twenty-one of these 30 companies amended less than 20.</w:t>
      </w:r>
    </w:p>
    <w:p w14:paraId="4B5BD001" w14:textId="02FC9E21" w:rsidR="00046EF6" w:rsidRPr="00046EF6" w:rsidRDefault="00046EF6" w:rsidP="00046EF6">
      <w:pPr>
        <w:rPr>
          <w:rFonts w:cs="Calibri"/>
          <w:color w:val="000000" w:themeColor="text1"/>
        </w:rPr>
      </w:pPr>
      <w:r w:rsidRPr="00046EF6">
        <w:rPr>
          <w:rFonts w:cs="Calibri"/>
          <w:color w:val="000000" w:themeColor="text1"/>
        </w:rPr>
        <w:t xml:space="preserve">Twenty-nine of these 30 companies amended risk factors mentioning trade policy, 13 companies mentioning government funding and/or contracting, and 17 companies mentioning corporate sustainability reporting. </w:t>
      </w:r>
    </w:p>
    <w:p w14:paraId="1C478CD5" w14:textId="2A27B97F" w:rsidR="00046EF6" w:rsidRPr="00046EF6" w:rsidRDefault="00046EF6" w:rsidP="00046EF6">
      <w:pPr>
        <w:rPr>
          <w:rFonts w:cs="Calibri"/>
          <w:color w:val="000000" w:themeColor="text1"/>
        </w:rPr>
      </w:pPr>
      <w:r w:rsidRPr="00046EF6">
        <w:rPr>
          <w:rFonts w:cs="Calibri"/>
          <w:color w:val="000000" w:themeColor="text1"/>
        </w:rPr>
        <w:t xml:space="preserve">Sixty-four companies updated their risk factor disclosures (not by restating their disclosures in their entirety) but including just one to seven stand-alone risk factors in the quarterly report and incorporating the annual report risk factor disclosure by reference. Two-thirds of companies included one risk factor and the rest included two to seven risk factors. </w:t>
      </w:r>
    </w:p>
    <w:p w14:paraId="7FF29261" w14:textId="327F0D51" w:rsidR="00046EF6" w:rsidRPr="00046EF6" w:rsidRDefault="00046EF6" w:rsidP="00046EF6">
      <w:pPr>
        <w:rPr>
          <w:rFonts w:cs="Calibri"/>
          <w:color w:val="000000" w:themeColor="text1"/>
        </w:rPr>
      </w:pPr>
      <w:r w:rsidRPr="00046EF6">
        <w:rPr>
          <w:rFonts w:cs="Calibri"/>
          <w:color w:val="000000" w:themeColor="text1"/>
        </w:rPr>
        <w:lastRenderedPageBreak/>
        <w:t>Of these 64 companies, 52 disclosed risk factors mentioning trade policy, seven companies mentioning government funding and/or contracting, and two companies mentioning corporate sustainability reporting.</w:t>
      </w:r>
    </w:p>
    <w:p w14:paraId="17E68CA0" w14:textId="75E4ECCD" w:rsidR="00046EF6" w:rsidRPr="00046EF6" w:rsidRDefault="00046EF6" w:rsidP="00046EF6">
      <w:pPr>
        <w:rPr>
          <w:rFonts w:cs="Calibri"/>
          <w:color w:val="000000" w:themeColor="text1"/>
        </w:rPr>
      </w:pPr>
      <w:r w:rsidRPr="00046EF6">
        <w:rPr>
          <w:rFonts w:cs="Calibri"/>
          <w:color w:val="000000" w:themeColor="text1"/>
        </w:rPr>
        <w:t xml:space="preserve">Most companies—333 of 427—reported no changes in their risk factor disclosures. </w:t>
      </w:r>
    </w:p>
    <w:p w14:paraId="02AD937F" w14:textId="3075A595" w:rsidR="00046EF6" w:rsidRPr="00046EF6" w:rsidRDefault="00046EF6" w:rsidP="00046EF6">
      <w:pPr>
        <w:rPr>
          <w:rFonts w:cs="Calibri"/>
          <w:color w:val="000000" w:themeColor="text1"/>
        </w:rPr>
      </w:pPr>
      <w:r w:rsidRPr="00046EF6">
        <w:rPr>
          <w:rFonts w:cs="Calibri"/>
          <w:color w:val="000000" w:themeColor="text1"/>
        </w:rPr>
        <w:t xml:space="preserve">About two-thirds of these 333 companies explicitly reported no “material” changes to the risk factors since the annual reporting filing. Five companies reported no “material” changes since the annual report filing except those reported in other quarterly report sections, such as in the Management’s Discussion and Analysis of Financial Condition and Results of Operations in the quarterly report. Two companies reported no “material” changes since the annual report and subsequent filings. One company disclosed that the annual report included the “material” risk factors, but did not explicitly say there we no “material” changes.  </w:t>
      </w:r>
    </w:p>
    <w:p w14:paraId="240FF25D" w14:textId="1D548B16" w:rsidR="00046EF6" w:rsidRPr="00046EF6" w:rsidRDefault="00046EF6" w:rsidP="00046EF6">
      <w:pPr>
        <w:rPr>
          <w:rFonts w:cs="Calibri"/>
          <w:color w:val="000000" w:themeColor="text1"/>
        </w:rPr>
      </w:pPr>
      <w:r w:rsidRPr="00046EF6">
        <w:rPr>
          <w:rFonts w:cs="Calibri"/>
          <w:color w:val="000000" w:themeColor="text1"/>
        </w:rPr>
        <w:t>About one-fifth of these 333 companies referenced their annual reports and often their quarterly reports, but did not explicitly state there were no “material” changes since these filings. About eight percent of companies did not include any risk factors section. Four companies reported no “significant” changes since the annual report filing. One company reported no changes; one company stated no changes were required to be reported; one company reported no “material” changes and referenced no other filing; one company reported the risk factors disclosure as "not applicable;” and another included a bullet list of risk factors.</w:t>
      </w:r>
    </w:p>
    <w:p w14:paraId="49894F35" w14:textId="389111D1" w:rsidR="00046EF6" w:rsidRDefault="00046EF6" w:rsidP="00046EF6">
      <w:pPr>
        <w:pStyle w:val="Heading1"/>
        <w:rPr>
          <w:rFonts w:ascii="Aptos" w:hAnsi="Aptos"/>
          <w:color w:val="990000"/>
        </w:rPr>
      </w:pPr>
      <w:r w:rsidRPr="00046EF6">
        <w:rPr>
          <w:rFonts w:ascii="Aptos" w:hAnsi="Aptos"/>
          <w:color w:val="990000"/>
        </w:rPr>
        <w:t>Consideration</w:t>
      </w:r>
      <w:r>
        <w:rPr>
          <w:rFonts w:ascii="Aptos" w:hAnsi="Aptos"/>
          <w:color w:val="990000"/>
        </w:rPr>
        <w:t>s</w:t>
      </w:r>
    </w:p>
    <w:p w14:paraId="4C58AD60" w14:textId="0F027E86" w:rsidR="00046EF6" w:rsidRPr="00046EF6" w:rsidRDefault="00046EF6" w:rsidP="00046EF6">
      <w:pPr>
        <w:pStyle w:val="Heading1"/>
        <w:rPr>
          <w:rFonts w:ascii="Aptos" w:hAnsi="Aptos"/>
          <w:color w:val="990000"/>
        </w:rPr>
      </w:pPr>
      <w:r w:rsidRPr="00046EF6">
        <w:rPr>
          <w:rFonts w:ascii="Aptos" w:hAnsi="Aptos" w:cstheme="minorHAnsi"/>
          <w:b/>
          <w:bCs/>
          <w:color w:val="000000" w:themeColor="text1"/>
          <w:sz w:val="22"/>
          <w:szCs w:val="22"/>
        </w:rPr>
        <w:t xml:space="preserve">Update risk factor disclosures in quarterly reports. </w:t>
      </w:r>
      <w:r w:rsidRPr="00046EF6">
        <w:rPr>
          <w:rFonts w:ascii="Aptos" w:hAnsi="Aptos" w:cstheme="minorHAnsi"/>
          <w:color w:val="000000" w:themeColor="text1"/>
          <w:sz w:val="22"/>
          <w:szCs w:val="22"/>
        </w:rPr>
        <w:t>Companies should assess as they prepare their quarterly reports whether their risk factors have materially changed. If so, SEC regulations require an update. Although there is limited SEC guidance on updating quarterly risk factor disclosures, the SEC stated when it issued the rule requiring these updates for material changes that, “[t]he amendments do not otherwise require, and we discourage, unnecessary restatement or repetition of risk factors in quarterly reports.”</w:t>
      </w:r>
      <w:r w:rsidRPr="00046EF6">
        <w:rPr>
          <w:rStyle w:val="EndnoteReference"/>
          <w:rFonts w:ascii="Aptos" w:hAnsi="Aptos" w:cstheme="minorHAnsi"/>
          <w:color w:val="000000" w:themeColor="text1"/>
          <w:sz w:val="22"/>
          <w:szCs w:val="22"/>
        </w:rPr>
        <w:endnoteReference w:id="8"/>
      </w:r>
      <w:r w:rsidRPr="00046EF6">
        <w:rPr>
          <w:rFonts w:ascii="Aptos" w:hAnsi="Aptos" w:cstheme="minorHAnsi"/>
          <w:color w:val="000000" w:themeColor="text1"/>
          <w:sz w:val="22"/>
          <w:szCs w:val="22"/>
        </w:rPr>
        <w:t xml:space="preserve"> For readability purposes, companies should consider only including risk factors that they amended and reference the appropriate SEC filing(s) rather than restating their risk factors in their entirety. </w:t>
      </w:r>
    </w:p>
    <w:p w14:paraId="0100206F" w14:textId="754FE8AC" w:rsidR="00046EF6" w:rsidRPr="00046EF6" w:rsidRDefault="00046EF6" w:rsidP="00046EF6">
      <w:pPr>
        <w:rPr>
          <w:rFonts w:ascii="Aptos" w:hAnsi="Aptos"/>
          <w:color w:val="000000" w:themeColor="text1"/>
        </w:rPr>
      </w:pPr>
      <w:r w:rsidRPr="00046EF6">
        <w:rPr>
          <w:rFonts w:ascii="Aptos" w:hAnsi="Aptos" w:cstheme="minorHAnsi"/>
          <w:b/>
          <w:bCs/>
          <w:color w:val="000000" w:themeColor="text1"/>
        </w:rPr>
        <w:t>Integrate external risk factor disclosure processes with internal enterprise risk management (ERM) reporting processes.</w:t>
      </w:r>
      <w:r w:rsidRPr="00046EF6">
        <w:rPr>
          <w:rFonts w:ascii="Aptos" w:hAnsi="Aptos" w:cstheme="minorHAnsi"/>
          <w:bCs/>
          <w:color w:val="000000" w:themeColor="text1"/>
        </w:rPr>
        <w:t xml:space="preserve"> As we have mentioned in each of our past reports, companies can consider integrating their external risk factor disclosure process into their internal ERM reporting processes. As ERM leading practices evolve to providing quarterly updates on top risks to leadership, effective linkage with SEC reporting processes can enable pertinent updates in securities filings. Companies may then be better positioned to meet the </w:t>
      </w:r>
      <w:r w:rsidRPr="00046EF6">
        <w:rPr>
          <w:rFonts w:ascii="Aptos" w:hAnsi="Aptos"/>
          <w:color w:val="000000" w:themeColor="text1"/>
        </w:rPr>
        <w:t>SEC’s goals set forth in the amended risk factor disclosure requirements of “disclosure that is more in line with the way the registrant’s management and its board of directors monitor and assess the business.”</w:t>
      </w:r>
      <w:r w:rsidRPr="00046EF6">
        <w:rPr>
          <w:rStyle w:val="EndnoteReference"/>
          <w:rFonts w:ascii="Aptos" w:hAnsi="Aptos"/>
          <w:color w:val="000000" w:themeColor="text1"/>
        </w:rPr>
        <w:endnoteReference w:id="9"/>
      </w:r>
      <w:r w:rsidRPr="00046EF6">
        <w:rPr>
          <w:rFonts w:ascii="Aptos" w:hAnsi="Aptos"/>
          <w:color w:val="000000" w:themeColor="text1"/>
        </w:rPr>
        <w:t xml:space="preserve"> </w:t>
      </w:r>
    </w:p>
    <w:p w14:paraId="7CE8ECA8" w14:textId="2C4D11A0" w:rsidR="00046EF6" w:rsidRPr="00046EF6" w:rsidRDefault="00046EF6" w:rsidP="00046EF6">
      <w:pPr>
        <w:rPr>
          <w:rFonts w:ascii="Aptos" w:hAnsi="Aptos" w:cstheme="minorHAnsi"/>
          <w:b/>
          <w:bCs/>
          <w:color w:val="000000" w:themeColor="text1"/>
        </w:rPr>
      </w:pPr>
      <w:r w:rsidRPr="00046EF6">
        <w:rPr>
          <w:rFonts w:ascii="Aptos" w:hAnsi="Aptos"/>
          <w:b/>
          <w:bCs/>
          <w:color w:val="000000" w:themeColor="text1"/>
        </w:rPr>
        <w:t>Aim for specificity, avoid boilerplate.</w:t>
      </w:r>
      <w:r w:rsidRPr="00046EF6">
        <w:rPr>
          <w:rFonts w:ascii="Aptos" w:hAnsi="Aptos"/>
          <w:color w:val="000000" w:themeColor="text1"/>
        </w:rPr>
        <w:t xml:space="preserve"> Companies should strive to make their risk factor disclosures more specific when describing their material risks. This advice aligns with the spirit of the SEC’s amended risk factor disclosure requirements regarding all material risks.</w:t>
      </w:r>
      <w:r w:rsidRPr="00046EF6">
        <w:rPr>
          <w:rStyle w:val="EndnoteReference"/>
          <w:rFonts w:ascii="Aptos" w:hAnsi="Aptos"/>
          <w:color w:val="000000" w:themeColor="text1"/>
        </w:rPr>
        <w:endnoteReference w:id="10"/>
      </w:r>
      <w:r w:rsidRPr="00046EF6">
        <w:rPr>
          <w:rFonts w:ascii="Aptos" w:hAnsi="Aptos"/>
          <w:color w:val="000000" w:themeColor="text1"/>
        </w:rPr>
        <w:t xml:space="preserve"> </w:t>
      </w:r>
    </w:p>
    <w:p w14:paraId="0ECBDAED" w14:textId="596F0CE7" w:rsidR="00046EF6" w:rsidRPr="00046EF6" w:rsidRDefault="00046EF6" w:rsidP="00046EF6">
      <w:pPr>
        <w:rPr>
          <w:rFonts w:ascii="Aptos" w:hAnsi="Aptos" w:cstheme="minorHAnsi"/>
          <w:bCs/>
          <w:color w:val="000000" w:themeColor="text1"/>
        </w:rPr>
      </w:pPr>
      <w:r w:rsidRPr="00046EF6">
        <w:rPr>
          <w:rFonts w:ascii="Aptos" w:hAnsi="Aptos" w:cstheme="minorHAnsi"/>
          <w:b/>
          <w:bCs/>
          <w:color w:val="000000" w:themeColor="text1"/>
        </w:rPr>
        <w:lastRenderedPageBreak/>
        <w:t>Use risk taxonomies from ERM program for headings.</w:t>
      </w:r>
      <w:r w:rsidRPr="00046EF6">
        <w:rPr>
          <w:rFonts w:ascii="Aptos" w:hAnsi="Aptos" w:cstheme="minorHAnsi"/>
          <w:bCs/>
          <w:color w:val="000000" w:themeColor="text1"/>
        </w:rPr>
        <w:t xml:space="preserve"> To bring more specificity to headings (which often are generic) and enhance readability, companies could rely on their internal taxonomies used to catalogue risks for their ERM and risk reporting to management and boards of directors.</w:t>
      </w:r>
      <w:r w:rsidRPr="00046EF6">
        <w:rPr>
          <w:rFonts w:ascii="Aptos" w:hAnsi="Aptos"/>
          <w:color w:val="000000" w:themeColor="text1"/>
        </w:rPr>
        <w:t xml:space="preserve"> </w:t>
      </w:r>
      <w:r w:rsidRPr="00046EF6">
        <w:rPr>
          <w:rFonts w:ascii="Aptos" w:hAnsi="Aptos" w:cstheme="minorHAnsi"/>
          <w:bCs/>
          <w:color w:val="000000" w:themeColor="text1"/>
        </w:rPr>
        <w:t>Companies could also use external taxonomies promulgated by regulators and/or professional organizations.</w:t>
      </w:r>
      <w:r w:rsidRPr="00046EF6">
        <w:rPr>
          <w:rStyle w:val="EndnoteReference"/>
          <w:rFonts w:ascii="Aptos" w:hAnsi="Aptos" w:cstheme="minorHAnsi"/>
          <w:bCs/>
          <w:color w:val="000000" w:themeColor="text1"/>
        </w:rPr>
        <w:endnoteReference w:id="11"/>
      </w:r>
      <w:r w:rsidRPr="00046EF6">
        <w:rPr>
          <w:rFonts w:ascii="Aptos" w:hAnsi="Aptos" w:cstheme="minorHAnsi"/>
          <w:bCs/>
          <w:color w:val="000000" w:themeColor="text1"/>
        </w:rPr>
        <w:t xml:space="preserve"> Using more specific headings could lead to the more integrated external and internal reporting the SEC has sought. </w:t>
      </w:r>
    </w:p>
    <w:p w14:paraId="3D9A78B6" w14:textId="7A7CDCC0" w:rsidR="00046EF6" w:rsidRPr="00046EF6" w:rsidRDefault="00046EF6" w:rsidP="00046EF6">
      <w:pPr>
        <w:rPr>
          <w:rFonts w:ascii="Aptos" w:hAnsi="Aptos" w:cstheme="minorHAnsi"/>
          <w:bCs/>
          <w:color w:val="000000" w:themeColor="text1"/>
        </w:rPr>
      </w:pPr>
      <w:r w:rsidRPr="00046EF6">
        <w:rPr>
          <w:rFonts w:ascii="Aptos" w:hAnsi="Aptos" w:cstheme="minorHAnsi"/>
          <w:b/>
          <w:bCs/>
          <w:color w:val="000000" w:themeColor="text1"/>
        </w:rPr>
        <w:t xml:space="preserve">Shorten sentence length. </w:t>
      </w:r>
      <w:r w:rsidRPr="00046EF6">
        <w:rPr>
          <w:rFonts w:ascii="Aptos" w:hAnsi="Aptos" w:cstheme="minorHAnsi"/>
          <w:color w:val="000000" w:themeColor="text1"/>
        </w:rPr>
        <w:t>We have now reviewed five reporting seasons of risk factor disclosures since the effective date of the SEC’s risk factor disclosure reforms. The sentence length in most of these disclosures remains exceedingly lengthy, reducing readability. As we have stated in several of our past reports, companies would serve the investing public well by decreasing the number of words in each sentence. Plain English standards call for no more than 20 words per sentence.</w:t>
      </w:r>
      <w:r w:rsidRPr="00046EF6">
        <w:rPr>
          <w:rStyle w:val="EndnoteReference"/>
          <w:rFonts w:ascii="Aptos" w:hAnsi="Aptos" w:cstheme="minorHAnsi"/>
          <w:color w:val="000000" w:themeColor="text1"/>
        </w:rPr>
        <w:endnoteReference w:id="12"/>
      </w:r>
      <w:r w:rsidRPr="00046EF6">
        <w:rPr>
          <w:rFonts w:ascii="Aptos" w:hAnsi="Aptos" w:cstheme="minorHAnsi"/>
          <w:color w:val="000000" w:themeColor="text1"/>
        </w:rPr>
        <w:t xml:space="preserve"> </w:t>
      </w:r>
    </w:p>
    <w:p w14:paraId="78280CF0" w14:textId="40F14A73" w:rsidR="00046EF6" w:rsidRDefault="00046EF6" w:rsidP="00046EF6">
      <w:pPr>
        <w:pStyle w:val="Heading1"/>
        <w:rPr>
          <w:rFonts w:ascii="Aptos" w:hAnsi="Aptos"/>
          <w:color w:val="990000"/>
        </w:rPr>
      </w:pPr>
      <w:r w:rsidRPr="00046EF6">
        <w:rPr>
          <w:rFonts w:ascii="Aptos" w:hAnsi="Aptos"/>
          <w:color w:val="990000"/>
        </w:rPr>
        <w:t>Conclusio</w:t>
      </w:r>
      <w:r>
        <w:rPr>
          <w:rFonts w:ascii="Aptos" w:hAnsi="Aptos"/>
          <w:color w:val="990000"/>
        </w:rPr>
        <w:t>n</w:t>
      </w:r>
    </w:p>
    <w:p w14:paraId="7F681852" w14:textId="49FDC43B" w:rsidR="00046EF6" w:rsidRPr="00046EF6" w:rsidRDefault="00046EF6" w:rsidP="00046EF6">
      <w:pPr>
        <w:pStyle w:val="Heading1"/>
        <w:rPr>
          <w:rFonts w:ascii="Aptos" w:hAnsi="Aptos"/>
          <w:color w:val="990000"/>
          <w:sz w:val="22"/>
          <w:szCs w:val="22"/>
        </w:rPr>
      </w:pPr>
      <w:r w:rsidRPr="00046EF6">
        <w:rPr>
          <w:rFonts w:ascii="Aptos" w:hAnsi="Aptos" w:cstheme="minorHAnsi"/>
          <w:bCs/>
          <w:color w:val="000000" w:themeColor="text1"/>
          <w:sz w:val="22"/>
          <w:szCs w:val="22"/>
        </w:rPr>
        <w:t xml:space="preserve">During this fifth year of implementation of the SEC’s amended requirements, risk factor disclosures of 427 S&amp;P 500 companies have continued to lengthen. Given the risk factors added or amended in quarterly reports this reporting season, particularly related to trade policies, it is possible that there may be even lengthier risk factors in the 2026 reporting season. </w:t>
      </w:r>
    </w:p>
    <w:p w14:paraId="7EA57F46" w14:textId="5088CC40" w:rsidR="00046EF6" w:rsidRDefault="00046EF6" w:rsidP="00046EF6">
      <w:pPr>
        <w:pStyle w:val="ListParagraph"/>
        <w:spacing w:after="0" w:line="240" w:lineRule="auto"/>
        <w:ind w:left="0"/>
        <w:rPr>
          <w:rFonts w:ascii="Aptos" w:hAnsi="Aptos" w:cstheme="minorHAnsi"/>
          <w:bCs/>
        </w:rPr>
      </w:pPr>
    </w:p>
    <w:p w14:paraId="51257F0C" w14:textId="065D4B93" w:rsidR="00046EF6" w:rsidRDefault="00046EF6" w:rsidP="00046EF6">
      <w:pPr>
        <w:pStyle w:val="ListParagraph"/>
        <w:spacing w:after="0" w:line="240" w:lineRule="auto"/>
        <w:ind w:left="0"/>
        <w:rPr>
          <w:rFonts w:ascii="Aptos" w:hAnsi="Aptos" w:cstheme="minorHAnsi"/>
          <w:bCs/>
        </w:rPr>
      </w:pPr>
    </w:p>
    <w:p w14:paraId="413EA6B6" w14:textId="4E41469E" w:rsidR="00046EF6" w:rsidRDefault="00046EF6" w:rsidP="00046EF6">
      <w:pPr>
        <w:pStyle w:val="ListParagraph"/>
        <w:spacing w:after="0" w:line="240" w:lineRule="auto"/>
        <w:ind w:left="0"/>
        <w:rPr>
          <w:rFonts w:ascii="Aptos" w:hAnsi="Aptos" w:cstheme="minorHAnsi"/>
          <w:bCs/>
        </w:rPr>
      </w:pPr>
    </w:p>
    <w:p w14:paraId="3F851F8D" w14:textId="1A3FFBC6" w:rsidR="00046EF6" w:rsidRDefault="00046EF6" w:rsidP="00046EF6">
      <w:pPr>
        <w:pStyle w:val="ListParagraph"/>
        <w:spacing w:after="0" w:line="240" w:lineRule="auto"/>
        <w:ind w:left="0"/>
        <w:rPr>
          <w:rFonts w:ascii="Aptos" w:hAnsi="Aptos" w:cstheme="minorHAnsi"/>
          <w:bCs/>
        </w:rPr>
      </w:pPr>
    </w:p>
    <w:p w14:paraId="48EF6A8C" w14:textId="3FEF96F3" w:rsidR="00046EF6" w:rsidRDefault="00046EF6" w:rsidP="00046EF6">
      <w:pPr>
        <w:pStyle w:val="ListParagraph"/>
        <w:spacing w:after="0" w:line="240" w:lineRule="auto"/>
        <w:ind w:left="0"/>
        <w:rPr>
          <w:rFonts w:ascii="Aptos" w:hAnsi="Aptos" w:cstheme="minorHAnsi"/>
          <w:bCs/>
        </w:rPr>
      </w:pPr>
    </w:p>
    <w:p w14:paraId="163A2D4F" w14:textId="70BB0868" w:rsidR="00046EF6" w:rsidRDefault="00046EF6" w:rsidP="00046EF6">
      <w:pPr>
        <w:pStyle w:val="ListParagraph"/>
        <w:spacing w:after="0" w:line="240" w:lineRule="auto"/>
        <w:ind w:left="0"/>
        <w:rPr>
          <w:rFonts w:ascii="Aptos" w:hAnsi="Aptos" w:cstheme="minorHAnsi"/>
          <w:bCs/>
        </w:rPr>
      </w:pPr>
    </w:p>
    <w:p w14:paraId="10351479" w14:textId="50D5CC5E" w:rsidR="00046EF6" w:rsidRDefault="00046EF6" w:rsidP="00046EF6">
      <w:pPr>
        <w:pStyle w:val="ListParagraph"/>
        <w:spacing w:after="0" w:line="240" w:lineRule="auto"/>
        <w:ind w:left="0"/>
        <w:rPr>
          <w:rFonts w:ascii="Aptos" w:hAnsi="Aptos" w:cstheme="minorHAnsi"/>
          <w:bCs/>
        </w:rPr>
      </w:pPr>
    </w:p>
    <w:p w14:paraId="69740523" w14:textId="740FE59E" w:rsidR="00046EF6" w:rsidRDefault="00046EF6" w:rsidP="00046EF6">
      <w:pPr>
        <w:pStyle w:val="ListParagraph"/>
        <w:spacing w:after="0" w:line="240" w:lineRule="auto"/>
        <w:ind w:left="0"/>
        <w:rPr>
          <w:rFonts w:ascii="Aptos" w:hAnsi="Aptos" w:cstheme="minorHAnsi"/>
          <w:bCs/>
        </w:rPr>
      </w:pPr>
    </w:p>
    <w:p w14:paraId="5307507A" w14:textId="2DBFDE0A" w:rsidR="00046EF6" w:rsidRDefault="00046EF6" w:rsidP="00046EF6">
      <w:pPr>
        <w:pStyle w:val="ListParagraph"/>
        <w:spacing w:after="0" w:line="240" w:lineRule="auto"/>
        <w:ind w:left="0"/>
        <w:rPr>
          <w:rFonts w:ascii="Aptos" w:hAnsi="Aptos" w:cstheme="minorHAnsi"/>
          <w:bCs/>
        </w:rPr>
      </w:pPr>
    </w:p>
    <w:p w14:paraId="5B02A327" w14:textId="6D02FFA4" w:rsidR="00046EF6" w:rsidRDefault="00046EF6" w:rsidP="00046EF6">
      <w:pPr>
        <w:pStyle w:val="ListParagraph"/>
        <w:spacing w:after="0" w:line="240" w:lineRule="auto"/>
        <w:ind w:left="0"/>
        <w:rPr>
          <w:rFonts w:ascii="Aptos" w:hAnsi="Aptos" w:cstheme="minorHAnsi"/>
          <w:bCs/>
        </w:rPr>
      </w:pPr>
    </w:p>
    <w:p w14:paraId="3C75FA59" w14:textId="16223C65" w:rsidR="00046EF6" w:rsidRDefault="00046EF6" w:rsidP="00046EF6">
      <w:pPr>
        <w:pStyle w:val="ListParagraph"/>
        <w:spacing w:after="0" w:line="240" w:lineRule="auto"/>
        <w:ind w:left="0"/>
        <w:rPr>
          <w:rFonts w:ascii="Aptos" w:hAnsi="Aptos" w:cstheme="minorHAnsi"/>
          <w:bCs/>
        </w:rPr>
      </w:pPr>
    </w:p>
    <w:p w14:paraId="6BDC46D5" w14:textId="3B4158F0" w:rsidR="00046EF6" w:rsidRDefault="00046EF6" w:rsidP="00046EF6">
      <w:pPr>
        <w:pStyle w:val="ListParagraph"/>
        <w:spacing w:after="0" w:line="240" w:lineRule="auto"/>
        <w:ind w:left="0"/>
        <w:rPr>
          <w:rFonts w:ascii="Aptos" w:hAnsi="Aptos" w:cstheme="minorHAnsi"/>
          <w:bCs/>
        </w:rPr>
      </w:pPr>
    </w:p>
    <w:p w14:paraId="2A686F62" w14:textId="15098259" w:rsidR="00046EF6" w:rsidRDefault="00046EF6" w:rsidP="00046EF6">
      <w:pPr>
        <w:pStyle w:val="ListParagraph"/>
        <w:spacing w:after="0" w:line="240" w:lineRule="auto"/>
        <w:ind w:left="0"/>
        <w:rPr>
          <w:rFonts w:ascii="Aptos" w:hAnsi="Aptos" w:cstheme="minorHAnsi"/>
          <w:bCs/>
        </w:rPr>
      </w:pPr>
    </w:p>
    <w:p w14:paraId="402A7AF3" w14:textId="75A7AA18" w:rsidR="00046EF6" w:rsidRDefault="00046EF6" w:rsidP="00046EF6">
      <w:pPr>
        <w:pStyle w:val="ListParagraph"/>
        <w:spacing w:after="0" w:line="240" w:lineRule="auto"/>
        <w:ind w:left="0"/>
        <w:rPr>
          <w:rFonts w:ascii="Aptos" w:hAnsi="Aptos" w:cstheme="minorHAnsi"/>
          <w:bCs/>
        </w:rPr>
      </w:pPr>
    </w:p>
    <w:p w14:paraId="0E5B5B82" w14:textId="695E72AF" w:rsidR="00046EF6" w:rsidRDefault="00046EF6" w:rsidP="00046EF6">
      <w:pPr>
        <w:pStyle w:val="ListParagraph"/>
        <w:spacing w:after="0" w:line="240" w:lineRule="auto"/>
        <w:ind w:left="0"/>
        <w:rPr>
          <w:rFonts w:ascii="Aptos" w:hAnsi="Aptos" w:cstheme="minorHAnsi"/>
          <w:bCs/>
        </w:rPr>
      </w:pPr>
    </w:p>
    <w:p w14:paraId="580945E9" w14:textId="393EFB15" w:rsidR="00046EF6" w:rsidRDefault="00D92AD1" w:rsidP="00046EF6">
      <w:pPr>
        <w:pStyle w:val="ListParagraph"/>
        <w:spacing w:after="0" w:line="240" w:lineRule="auto"/>
        <w:ind w:left="0"/>
        <w:rPr>
          <w:rFonts w:ascii="Aptos" w:hAnsi="Aptos" w:cstheme="minorHAnsi"/>
          <w:bCs/>
        </w:rPr>
      </w:pPr>
      <w:r>
        <w:rPr>
          <w:rFonts w:ascii="Aptos" w:hAnsi="Aptos" w:cstheme="minorHAnsi"/>
          <w:bCs/>
          <w:noProof/>
        </w:rPr>
        <w:drawing>
          <wp:anchor distT="0" distB="0" distL="114300" distR="114300" simplePos="0" relativeHeight="251672576" behindDoc="0" locked="0" layoutInCell="1" allowOverlap="1" wp14:anchorId="66A4A60F" wp14:editId="1AD687B9">
            <wp:simplePos x="0" y="0"/>
            <wp:positionH relativeFrom="column">
              <wp:posOffset>-962025</wp:posOffset>
            </wp:positionH>
            <wp:positionV relativeFrom="paragraph">
              <wp:posOffset>234215</wp:posOffset>
            </wp:positionV>
            <wp:extent cx="7806055" cy="2648585"/>
            <wp:effectExtent l="0" t="0" r="4445" b="5715"/>
            <wp:wrapNone/>
            <wp:docPr id="1931919082" name="Picture 8" descr="A ship with cars on it&#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1919082" name="Picture 8" descr="A ship with cars on it&#10;"/>
                    <pic:cNvPicPr/>
                  </pic:nvPicPr>
                  <pic:blipFill rotWithShape="1">
                    <a:blip r:embed="rId29" cstate="print">
                      <a:extLst>
                        <a:ext uri="{28A0092B-C50C-407E-A947-70E740481C1C}">
                          <a14:useLocalDpi xmlns:a14="http://schemas.microsoft.com/office/drawing/2010/main" val="0"/>
                        </a:ext>
                      </a:extLst>
                    </a:blip>
                    <a:srcRect l="-16" t="30546" r="16" b="18513"/>
                    <a:stretch>
                      <a:fillRect/>
                    </a:stretch>
                  </pic:blipFill>
                  <pic:spPr bwMode="auto">
                    <a:xfrm>
                      <a:off x="0" y="0"/>
                      <a:ext cx="7806055" cy="264858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3B5D423" w14:textId="7661FA3F" w:rsidR="00046EF6" w:rsidRDefault="00046EF6" w:rsidP="00046EF6">
      <w:pPr>
        <w:pStyle w:val="ListParagraph"/>
        <w:spacing w:after="0" w:line="240" w:lineRule="auto"/>
        <w:ind w:left="0"/>
        <w:rPr>
          <w:rFonts w:ascii="Aptos" w:hAnsi="Aptos" w:cstheme="minorHAnsi"/>
          <w:bCs/>
        </w:rPr>
      </w:pPr>
    </w:p>
    <w:p w14:paraId="6F87338E" w14:textId="77777777" w:rsidR="00046EF6" w:rsidRDefault="00046EF6" w:rsidP="00046EF6">
      <w:pPr>
        <w:pStyle w:val="ListParagraph"/>
        <w:spacing w:after="0" w:line="240" w:lineRule="auto"/>
        <w:ind w:left="0"/>
        <w:rPr>
          <w:rFonts w:ascii="Aptos" w:hAnsi="Aptos" w:cstheme="minorHAnsi"/>
          <w:bCs/>
        </w:rPr>
      </w:pPr>
    </w:p>
    <w:p w14:paraId="78C691DB" w14:textId="77777777" w:rsidR="00046EF6" w:rsidRDefault="00046EF6" w:rsidP="00046EF6">
      <w:pPr>
        <w:pStyle w:val="ListParagraph"/>
        <w:spacing w:after="0" w:line="240" w:lineRule="auto"/>
        <w:ind w:left="0"/>
        <w:rPr>
          <w:rFonts w:ascii="Aptos" w:hAnsi="Aptos" w:cstheme="minorHAnsi"/>
          <w:bCs/>
        </w:rPr>
      </w:pPr>
    </w:p>
    <w:p w14:paraId="61EF85D9" w14:textId="77777777" w:rsidR="00046EF6" w:rsidRDefault="00046EF6" w:rsidP="00046EF6">
      <w:pPr>
        <w:pStyle w:val="ListParagraph"/>
        <w:spacing w:after="0" w:line="240" w:lineRule="auto"/>
        <w:ind w:left="0"/>
        <w:rPr>
          <w:rFonts w:ascii="Aptos" w:hAnsi="Aptos" w:cstheme="minorHAnsi"/>
          <w:bCs/>
        </w:rPr>
      </w:pPr>
    </w:p>
    <w:p w14:paraId="2FF23BD3" w14:textId="77777777" w:rsidR="00046EF6" w:rsidRDefault="00046EF6" w:rsidP="00046EF6">
      <w:pPr>
        <w:pStyle w:val="ListParagraph"/>
        <w:spacing w:after="0" w:line="240" w:lineRule="auto"/>
        <w:ind w:left="0"/>
        <w:rPr>
          <w:rFonts w:ascii="Aptos" w:hAnsi="Aptos" w:cstheme="minorHAnsi"/>
          <w:bCs/>
        </w:rPr>
      </w:pPr>
    </w:p>
    <w:p w14:paraId="11F3B42D" w14:textId="77777777" w:rsidR="00046EF6" w:rsidRDefault="00046EF6" w:rsidP="00046EF6">
      <w:pPr>
        <w:pStyle w:val="ListParagraph"/>
        <w:spacing w:after="0" w:line="240" w:lineRule="auto"/>
        <w:ind w:left="0"/>
        <w:rPr>
          <w:rFonts w:ascii="Aptos" w:hAnsi="Aptos" w:cstheme="minorHAnsi"/>
          <w:bCs/>
        </w:rPr>
      </w:pPr>
    </w:p>
    <w:p w14:paraId="24728F00" w14:textId="77777777" w:rsidR="00046EF6" w:rsidRDefault="00046EF6" w:rsidP="00046EF6">
      <w:pPr>
        <w:pStyle w:val="ListParagraph"/>
        <w:spacing w:after="0" w:line="240" w:lineRule="auto"/>
        <w:ind w:left="0"/>
        <w:rPr>
          <w:rFonts w:ascii="Aptos" w:hAnsi="Aptos" w:cstheme="minorHAnsi"/>
          <w:bCs/>
        </w:rPr>
      </w:pPr>
    </w:p>
    <w:p w14:paraId="3423E45F" w14:textId="77777777" w:rsidR="00046EF6" w:rsidRDefault="00046EF6" w:rsidP="00046EF6">
      <w:pPr>
        <w:pStyle w:val="ListParagraph"/>
        <w:spacing w:after="0" w:line="240" w:lineRule="auto"/>
        <w:ind w:left="0"/>
        <w:rPr>
          <w:rFonts w:ascii="Aptos" w:hAnsi="Aptos" w:cstheme="minorHAnsi"/>
          <w:bCs/>
        </w:rPr>
      </w:pPr>
    </w:p>
    <w:p w14:paraId="049A91AA" w14:textId="77777777" w:rsidR="00046EF6" w:rsidRDefault="00046EF6" w:rsidP="00046EF6">
      <w:pPr>
        <w:pStyle w:val="ListParagraph"/>
        <w:spacing w:after="0" w:line="240" w:lineRule="auto"/>
        <w:ind w:left="0"/>
        <w:rPr>
          <w:rFonts w:ascii="Aptos" w:hAnsi="Aptos" w:cstheme="minorHAnsi"/>
          <w:bCs/>
        </w:rPr>
      </w:pPr>
    </w:p>
    <w:p w14:paraId="0C66FD55" w14:textId="77777777" w:rsidR="00046EF6" w:rsidRDefault="00046EF6" w:rsidP="00046EF6">
      <w:pPr>
        <w:pStyle w:val="ListParagraph"/>
        <w:spacing w:after="0" w:line="240" w:lineRule="auto"/>
        <w:ind w:left="0"/>
        <w:rPr>
          <w:rFonts w:ascii="Aptos" w:hAnsi="Aptos" w:cstheme="minorHAnsi"/>
          <w:bCs/>
        </w:rPr>
      </w:pPr>
    </w:p>
    <w:p w14:paraId="03F46448" w14:textId="77777777" w:rsidR="00046EF6" w:rsidRDefault="00046EF6" w:rsidP="00046EF6">
      <w:pPr>
        <w:pStyle w:val="ListParagraph"/>
        <w:spacing w:after="0" w:line="240" w:lineRule="auto"/>
        <w:ind w:left="0"/>
        <w:rPr>
          <w:rFonts w:ascii="Aptos" w:hAnsi="Aptos" w:cstheme="minorHAnsi"/>
          <w:bCs/>
        </w:rPr>
      </w:pPr>
    </w:p>
    <w:p w14:paraId="59222350" w14:textId="4E6496A7" w:rsidR="00044825" w:rsidRPr="00AA4A59" w:rsidRDefault="00044825" w:rsidP="00046EF6">
      <w:pPr>
        <w:pStyle w:val="ListParagraph"/>
        <w:spacing w:after="0" w:line="240" w:lineRule="auto"/>
        <w:ind w:left="0"/>
        <w:rPr>
          <w:rFonts w:ascii="Aptos" w:hAnsi="Aptos" w:cstheme="minorHAnsi"/>
          <w:bCs/>
          <w:color w:val="990000"/>
          <w:sz w:val="40"/>
          <w:szCs w:val="40"/>
        </w:rPr>
      </w:pPr>
      <w:r w:rsidRPr="00AA4A59">
        <w:rPr>
          <w:rFonts w:ascii="Aptos" w:hAnsi="Aptos" w:cstheme="minorHAnsi"/>
          <w:bCs/>
          <w:color w:val="990000"/>
          <w:sz w:val="40"/>
          <w:szCs w:val="40"/>
        </w:rPr>
        <w:t>Appendix: Summary of SEC’s Final Rule on Regulation S-K, Item 105</w:t>
      </w:r>
    </w:p>
    <w:p w14:paraId="0DB18DE8" w14:textId="77777777" w:rsidR="00044825" w:rsidRPr="00891D8F" w:rsidRDefault="00044825" w:rsidP="00044825">
      <w:pPr>
        <w:pStyle w:val="ListParagraph"/>
        <w:spacing w:after="0" w:line="240" w:lineRule="auto"/>
        <w:ind w:left="0"/>
        <w:rPr>
          <w:rFonts w:ascii="Aptos" w:hAnsi="Aptos"/>
          <w:bCs/>
          <w:sz w:val="27"/>
          <w:szCs w:val="23"/>
        </w:rPr>
      </w:pPr>
    </w:p>
    <w:tbl>
      <w:tblPr>
        <w:tblW w:w="9445" w:type="dxa"/>
        <w:tblInd w:w="-10" w:type="dxa"/>
        <w:tblBorders>
          <w:top w:val="single" w:sz="8" w:space="0" w:color="A3A3A3"/>
          <w:left w:val="single" w:sz="8" w:space="0" w:color="A3A3A3"/>
          <w:bottom w:val="single" w:sz="8" w:space="0" w:color="A3A3A3"/>
          <w:right w:val="single" w:sz="8" w:space="0" w:color="A3A3A3"/>
        </w:tblBorders>
        <w:tblCellMar>
          <w:left w:w="0" w:type="dxa"/>
          <w:right w:w="0" w:type="dxa"/>
        </w:tblCellMar>
        <w:tblLook w:val="04A0" w:firstRow="1" w:lastRow="0" w:firstColumn="1" w:lastColumn="0" w:noHBand="0" w:noVBand="1"/>
      </w:tblPr>
      <w:tblGrid>
        <w:gridCol w:w="1213"/>
        <w:gridCol w:w="4364"/>
        <w:gridCol w:w="3868"/>
      </w:tblGrid>
      <w:tr w:rsidR="00044825" w:rsidRPr="00891D8F" w14:paraId="16C3F929" w14:textId="77777777" w:rsidTr="00F54D1C">
        <w:tc>
          <w:tcPr>
            <w:tcW w:w="1213" w:type="dxa"/>
            <w:tcBorders>
              <w:top w:val="single" w:sz="8" w:space="0" w:color="auto"/>
              <w:left w:val="single" w:sz="8" w:space="0" w:color="auto"/>
              <w:bottom w:val="single" w:sz="8" w:space="0" w:color="FFFFFF" w:themeColor="background1"/>
              <w:right w:val="single" w:sz="8" w:space="0" w:color="auto"/>
            </w:tcBorders>
            <w:shd w:val="clear" w:color="auto" w:fill="000000" w:themeFill="text1"/>
          </w:tcPr>
          <w:p w14:paraId="6F9DA896" w14:textId="77777777" w:rsidR="00044825" w:rsidRPr="00891D8F" w:rsidRDefault="00044825" w:rsidP="00F54D1C">
            <w:pPr>
              <w:spacing w:after="0" w:line="240" w:lineRule="auto"/>
              <w:ind w:left="90"/>
              <w:rPr>
                <w:rFonts w:ascii="Aptos" w:eastAsia="Times New Roman" w:hAnsi="Aptos" w:cstheme="minorHAnsi"/>
                <w:b/>
                <w:bCs/>
                <w:sz w:val="20"/>
                <w:szCs w:val="20"/>
              </w:rPr>
            </w:pPr>
            <w:r w:rsidRPr="00891D8F">
              <w:rPr>
                <w:rFonts w:ascii="Aptos" w:eastAsia="Times New Roman" w:hAnsi="Aptos" w:cstheme="minorHAnsi"/>
                <w:b/>
                <w:bCs/>
                <w:sz w:val="20"/>
                <w:szCs w:val="20"/>
              </w:rPr>
              <w:t>Topic</w:t>
            </w:r>
          </w:p>
        </w:tc>
        <w:tc>
          <w:tcPr>
            <w:tcW w:w="4364" w:type="dxa"/>
            <w:tcBorders>
              <w:top w:val="single" w:sz="8" w:space="0" w:color="auto"/>
              <w:left w:val="single" w:sz="8" w:space="0" w:color="auto"/>
              <w:bottom w:val="single" w:sz="8" w:space="0" w:color="FFFFFF" w:themeColor="background1"/>
              <w:right w:val="single" w:sz="8" w:space="0" w:color="auto"/>
            </w:tcBorders>
            <w:shd w:val="clear" w:color="auto" w:fill="000000" w:themeFill="text1"/>
            <w:tcMar>
              <w:top w:w="40" w:type="dxa"/>
              <w:left w:w="60" w:type="dxa"/>
              <w:bottom w:w="40" w:type="dxa"/>
              <w:right w:w="60" w:type="dxa"/>
            </w:tcMar>
            <w:hideMark/>
          </w:tcPr>
          <w:p w14:paraId="0E598240" w14:textId="77777777" w:rsidR="00044825" w:rsidRPr="00891D8F" w:rsidRDefault="00044825" w:rsidP="00F54D1C">
            <w:pPr>
              <w:spacing w:after="0" w:line="240" w:lineRule="auto"/>
              <w:ind w:left="90"/>
              <w:rPr>
                <w:rFonts w:ascii="Aptos" w:eastAsia="Times New Roman" w:hAnsi="Aptos" w:cstheme="minorHAnsi"/>
                <w:sz w:val="20"/>
                <w:szCs w:val="20"/>
              </w:rPr>
            </w:pPr>
            <w:r w:rsidRPr="00891D8F">
              <w:rPr>
                <w:rFonts w:ascii="Aptos" w:eastAsia="Times New Roman" w:hAnsi="Aptos" w:cstheme="minorHAnsi"/>
                <w:b/>
                <w:bCs/>
                <w:sz w:val="20"/>
                <w:szCs w:val="20"/>
              </w:rPr>
              <w:t>Rule Text</w:t>
            </w:r>
          </w:p>
        </w:tc>
        <w:tc>
          <w:tcPr>
            <w:tcW w:w="3868" w:type="dxa"/>
            <w:tcBorders>
              <w:top w:val="single" w:sz="8" w:space="0" w:color="auto"/>
              <w:left w:val="single" w:sz="8" w:space="0" w:color="auto"/>
              <w:bottom w:val="single" w:sz="8" w:space="0" w:color="FFFFFF" w:themeColor="background1"/>
              <w:right w:val="single" w:sz="8" w:space="0" w:color="auto"/>
            </w:tcBorders>
            <w:shd w:val="clear" w:color="auto" w:fill="000000" w:themeFill="text1"/>
            <w:tcMar>
              <w:top w:w="40" w:type="dxa"/>
              <w:left w:w="60" w:type="dxa"/>
              <w:bottom w:w="40" w:type="dxa"/>
              <w:right w:w="60" w:type="dxa"/>
            </w:tcMar>
            <w:hideMark/>
          </w:tcPr>
          <w:p w14:paraId="1AE67930" w14:textId="77777777" w:rsidR="00044825" w:rsidRPr="00891D8F" w:rsidRDefault="00044825" w:rsidP="00F54D1C">
            <w:pPr>
              <w:spacing w:after="0" w:line="240" w:lineRule="auto"/>
              <w:ind w:left="90"/>
              <w:rPr>
                <w:rFonts w:ascii="Aptos" w:eastAsia="Times New Roman" w:hAnsi="Aptos" w:cstheme="minorHAnsi"/>
                <w:sz w:val="20"/>
                <w:szCs w:val="20"/>
              </w:rPr>
            </w:pPr>
            <w:r w:rsidRPr="00891D8F">
              <w:rPr>
                <w:rFonts w:ascii="Aptos" w:eastAsia="Times New Roman" w:hAnsi="Aptos" w:cstheme="minorHAnsi"/>
                <w:b/>
                <w:bCs/>
                <w:sz w:val="20"/>
                <w:szCs w:val="20"/>
              </w:rPr>
              <w:t>What It Means</w:t>
            </w:r>
          </w:p>
        </w:tc>
      </w:tr>
      <w:tr w:rsidR="00044825" w:rsidRPr="00891D8F" w14:paraId="37F910FD" w14:textId="77777777" w:rsidTr="00F54D1C">
        <w:trPr>
          <w:trHeight w:val="1803"/>
        </w:trPr>
        <w:tc>
          <w:tcPr>
            <w:tcW w:w="1213" w:type="dxa"/>
            <w:tcBorders>
              <w:top w:val="single" w:sz="8" w:space="0" w:color="FFFFFF" w:themeColor="background1"/>
              <w:left w:val="single" w:sz="8" w:space="0" w:color="auto"/>
              <w:bottom w:val="single" w:sz="8" w:space="0" w:color="auto"/>
              <w:right w:val="single" w:sz="8" w:space="0" w:color="auto"/>
            </w:tcBorders>
          </w:tcPr>
          <w:p w14:paraId="773A61BF" w14:textId="77777777" w:rsidR="00044825" w:rsidRPr="00891D8F" w:rsidRDefault="00044825" w:rsidP="00F54D1C">
            <w:pPr>
              <w:spacing w:after="0" w:line="240" w:lineRule="auto"/>
              <w:ind w:left="90"/>
              <w:rPr>
                <w:rFonts w:ascii="Aptos" w:eastAsia="Times New Roman" w:hAnsi="Aptos" w:cstheme="minorHAnsi"/>
                <w:sz w:val="20"/>
                <w:szCs w:val="20"/>
              </w:rPr>
            </w:pPr>
            <w:r w:rsidRPr="00891D8F">
              <w:rPr>
                <w:rFonts w:ascii="Aptos" w:eastAsia="Times New Roman" w:hAnsi="Aptos" w:cstheme="minorHAnsi"/>
                <w:sz w:val="20"/>
                <w:szCs w:val="20"/>
              </w:rPr>
              <w:t>Disclosure of “Material” Risks</w:t>
            </w:r>
          </w:p>
        </w:tc>
        <w:tc>
          <w:tcPr>
            <w:tcW w:w="4364" w:type="dxa"/>
            <w:tcBorders>
              <w:top w:val="single" w:sz="8" w:space="0" w:color="FFFFFF" w:themeColor="background1"/>
              <w:left w:val="single" w:sz="8" w:space="0" w:color="auto"/>
              <w:bottom w:val="single" w:sz="8" w:space="0" w:color="auto"/>
              <w:right w:val="single" w:sz="8" w:space="0" w:color="auto"/>
            </w:tcBorders>
            <w:tcMar>
              <w:top w:w="40" w:type="dxa"/>
              <w:left w:w="60" w:type="dxa"/>
              <w:bottom w:w="40" w:type="dxa"/>
              <w:right w:w="60" w:type="dxa"/>
            </w:tcMar>
            <w:hideMark/>
          </w:tcPr>
          <w:p w14:paraId="15C4E403" w14:textId="77777777" w:rsidR="00044825" w:rsidRPr="00891D8F" w:rsidRDefault="00044825" w:rsidP="00F54D1C">
            <w:pPr>
              <w:spacing w:after="0" w:line="240" w:lineRule="auto"/>
              <w:ind w:left="90"/>
              <w:rPr>
                <w:rFonts w:ascii="Aptos" w:eastAsia="Times New Roman" w:hAnsi="Aptos" w:cstheme="minorHAnsi"/>
                <w:sz w:val="20"/>
                <w:szCs w:val="20"/>
              </w:rPr>
            </w:pPr>
            <w:r w:rsidRPr="00891D8F">
              <w:rPr>
                <w:rFonts w:ascii="Aptos" w:eastAsia="Times New Roman" w:hAnsi="Aptos" w:cstheme="minorHAnsi"/>
                <w:sz w:val="20"/>
                <w:szCs w:val="20"/>
              </w:rPr>
              <w:t>Where appropriate, provide under the caption “Risk Factors” a discussion of the </w:t>
            </w:r>
            <w:r w:rsidRPr="00891D8F">
              <w:rPr>
                <w:rFonts w:ascii="Aptos" w:eastAsia="Times New Roman" w:hAnsi="Aptos" w:cstheme="minorHAnsi"/>
                <w:sz w:val="20"/>
                <w:szCs w:val="20"/>
                <w:shd w:val="clear" w:color="auto" w:fill="FFFFFF"/>
              </w:rPr>
              <w:t>material</w:t>
            </w:r>
            <w:r w:rsidRPr="00891D8F">
              <w:rPr>
                <w:rFonts w:ascii="Aptos" w:eastAsia="Times New Roman" w:hAnsi="Aptos" w:cstheme="minorHAnsi"/>
                <w:sz w:val="20"/>
                <w:szCs w:val="20"/>
              </w:rPr>
              <w:t> factors that make an investment in the </w:t>
            </w:r>
            <w:r w:rsidRPr="00891D8F">
              <w:rPr>
                <w:rFonts w:ascii="Aptos" w:eastAsia="Times New Roman" w:hAnsi="Aptos" w:cstheme="minorHAnsi"/>
                <w:sz w:val="20"/>
                <w:szCs w:val="20"/>
                <w:shd w:val="clear" w:color="auto" w:fill="FFFFFF"/>
              </w:rPr>
              <w:t>registrant</w:t>
            </w:r>
            <w:r w:rsidRPr="00891D8F">
              <w:rPr>
                <w:rFonts w:ascii="Aptos" w:eastAsia="Times New Roman" w:hAnsi="Aptos" w:cstheme="minorHAnsi"/>
                <w:sz w:val="20"/>
                <w:szCs w:val="20"/>
              </w:rPr>
              <w:t> or offering speculative or risky. (§229.105(a))</w:t>
            </w:r>
          </w:p>
          <w:p w14:paraId="3D6BF1E0" w14:textId="77777777" w:rsidR="00044825" w:rsidRPr="00891D8F" w:rsidRDefault="00044825" w:rsidP="00F54D1C">
            <w:pPr>
              <w:spacing w:after="0" w:line="240" w:lineRule="auto"/>
              <w:ind w:left="90"/>
              <w:rPr>
                <w:rFonts w:ascii="Aptos" w:eastAsia="Times New Roman" w:hAnsi="Aptos" w:cstheme="minorHAnsi"/>
                <w:sz w:val="20"/>
                <w:szCs w:val="20"/>
              </w:rPr>
            </w:pPr>
            <w:r w:rsidRPr="00891D8F">
              <w:rPr>
                <w:rFonts w:ascii="Aptos" w:eastAsia="Times New Roman" w:hAnsi="Aptos" w:cstheme="minorHAnsi"/>
                <w:sz w:val="20"/>
                <w:szCs w:val="20"/>
              </w:rPr>
              <w:t> </w:t>
            </w:r>
          </w:p>
          <w:p w14:paraId="712AED59" w14:textId="77777777" w:rsidR="00044825" w:rsidRPr="00891D8F" w:rsidRDefault="00044825" w:rsidP="00F54D1C">
            <w:pPr>
              <w:spacing w:after="0" w:line="240" w:lineRule="auto"/>
              <w:ind w:left="90"/>
              <w:rPr>
                <w:rFonts w:ascii="Aptos" w:eastAsia="Times New Roman" w:hAnsi="Aptos" w:cstheme="minorHAnsi"/>
                <w:sz w:val="20"/>
                <w:szCs w:val="20"/>
              </w:rPr>
            </w:pPr>
            <w:r w:rsidRPr="00891D8F">
              <w:rPr>
                <w:rFonts w:ascii="Aptos" w:eastAsia="Times New Roman" w:hAnsi="Aptos" w:cstheme="minorHAnsi"/>
                <w:sz w:val="20"/>
                <w:szCs w:val="20"/>
              </w:rPr>
              <w:t xml:space="preserve">                  </w:t>
            </w:r>
          </w:p>
        </w:tc>
        <w:tc>
          <w:tcPr>
            <w:tcW w:w="3868" w:type="dxa"/>
            <w:tcBorders>
              <w:top w:val="single" w:sz="8" w:space="0" w:color="FFFFFF" w:themeColor="background1"/>
              <w:left w:val="single" w:sz="8" w:space="0" w:color="auto"/>
              <w:bottom w:val="single" w:sz="8" w:space="0" w:color="auto"/>
              <w:right w:val="single" w:sz="8" w:space="0" w:color="auto"/>
            </w:tcBorders>
            <w:tcMar>
              <w:top w:w="40" w:type="dxa"/>
              <w:left w:w="60" w:type="dxa"/>
              <w:bottom w:w="40" w:type="dxa"/>
              <w:right w:w="60" w:type="dxa"/>
            </w:tcMar>
            <w:hideMark/>
          </w:tcPr>
          <w:p w14:paraId="16E05A68" w14:textId="77777777" w:rsidR="00044825" w:rsidRPr="00891D8F" w:rsidRDefault="00044825" w:rsidP="00F54D1C">
            <w:pPr>
              <w:spacing w:after="0" w:line="240" w:lineRule="auto"/>
              <w:ind w:left="90"/>
              <w:rPr>
                <w:rFonts w:ascii="Aptos" w:eastAsia="Times New Roman" w:hAnsi="Aptos" w:cstheme="minorHAnsi"/>
                <w:sz w:val="20"/>
                <w:szCs w:val="20"/>
              </w:rPr>
            </w:pPr>
            <w:r w:rsidRPr="00891D8F">
              <w:rPr>
                <w:rFonts w:ascii="Aptos" w:eastAsia="Times New Roman" w:hAnsi="Aptos" w:cstheme="minorHAnsi"/>
                <w:sz w:val="20"/>
                <w:szCs w:val="20"/>
              </w:rPr>
              <w:t>To focus risk factor disclosures, companies should disclose</w:t>
            </w:r>
            <w:r w:rsidRPr="00891D8F">
              <w:rPr>
                <w:rFonts w:ascii="Aptos" w:hAnsi="Aptos"/>
              </w:rPr>
              <w:t xml:space="preserve"> </w:t>
            </w:r>
            <w:r w:rsidRPr="00891D8F">
              <w:rPr>
                <w:rFonts w:ascii="Aptos" w:eastAsia="Times New Roman" w:hAnsi="Aptos" w:cstheme="minorHAnsi"/>
                <w:sz w:val="20"/>
                <w:szCs w:val="20"/>
              </w:rPr>
              <w:t>only “material” risks, those “to which reasonable investors would attach importance in making investment or voting decisions.”</w:t>
            </w:r>
            <w:r w:rsidRPr="00891D8F">
              <w:rPr>
                <w:rStyle w:val="EndnoteReference"/>
                <w:rFonts w:ascii="Aptos" w:eastAsia="Times New Roman" w:hAnsi="Aptos" w:cstheme="minorHAnsi"/>
                <w:sz w:val="20"/>
                <w:szCs w:val="20"/>
              </w:rPr>
              <w:endnoteReference w:id="13"/>
            </w:r>
            <w:r w:rsidRPr="00891D8F">
              <w:rPr>
                <w:rFonts w:ascii="Aptos" w:eastAsia="Times New Roman" w:hAnsi="Aptos" w:cstheme="minorHAnsi"/>
                <w:sz w:val="20"/>
                <w:szCs w:val="20"/>
              </w:rPr>
              <w:t xml:space="preserve"> The previous rule required the disclosure of an organization’s “most significant” risks.</w:t>
            </w:r>
          </w:p>
        </w:tc>
      </w:tr>
      <w:tr w:rsidR="00044825" w:rsidRPr="00891D8F" w14:paraId="1414D3FA" w14:textId="77777777" w:rsidTr="00F54D1C">
        <w:tc>
          <w:tcPr>
            <w:tcW w:w="1213" w:type="dxa"/>
            <w:tcBorders>
              <w:top w:val="single" w:sz="8" w:space="0" w:color="auto"/>
              <w:left w:val="single" w:sz="8" w:space="0" w:color="auto"/>
              <w:bottom w:val="single" w:sz="8" w:space="0" w:color="auto"/>
              <w:right w:val="single" w:sz="8" w:space="0" w:color="auto"/>
            </w:tcBorders>
          </w:tcPr>
          <w:p w14:paraId="690D7F24" w14:textId="77777777" w:rsidR="00044825" w:rsidRPr="00891D8F" w:rsidRDefault="00044825" w:rsidP="00F54D1C">
            <w:pPr>
              <w:spacing w:after="0" w:line="240" w:lineRule="auto"/>
              <w:ind w:left="90"/>
              <w:rPr>
                <w:rFonts w:ascii="Aptos" w:eastAsia="Times New Roman" w:hAnsi="Aptos" w:cstheme="minorHAnsi"/>
                <w:sz w:val="20"/>
                <w:szCs w:val="20"/>
              </w:rPr>
            </w:pPr>
            <w:r w:rsidRPr="00891D8F">
              <w:rPr>
                <w:rFonts w:ascii="Aptos" w:eastAsia="Times New Roman" w:hAnsi="Aptos" w:cstheme="minorHAnsi"/>
                <w:sz w:val="20"/>
                <w:szCs w:val="20"/>
              </w:rPr>
              <w:t>Use of Headings</w:t>
            </w:r>
          </w:p>
        </w:tc>
        <w:tc>
          <w:tcPr>
            <w:tcW w:w="4364" w:type="dxa"/>
            <w:tcBorders>
              <w:top w:val="single" w:sz="8" w:space="0" w:color="auto"/>
              <w:left w:val="single" w:sz="8" w:space="0" w:color="auto"/>
              <w:bottom w:val="single" w:sz="8" w:space="0" w:color="auto"/>
              <w:right w:val="single" w:sz="8" w:space="0" w:color="auto"/>
            </w:tcBorders>
            <w:tcMar>
              <w:top w:w="40" w:type="dxa"/>
              <w:left w:w="60" w:type="dxa"/>
              <w:bottom w:w="40" w:type="dxa"/>
              <w:right w:w="60" w:type="dxa"/>
            </w:tcMar>
            <w:hideMark/>
          </w:tcPr>
          <w:p w14:paraId="45D381FD" w14:textId="77777777" w:rsidR="00044825" w:rsidRPr="00891D8F" w:rsidRDefault="00044825" w:rsidP="00F54D1C">
            <w:pPr>
              <w:spacing w:after="0" w:line="240" w:lineRule="auto"/>
              <w:ind w:left="90"/>
              <w:rPr>
                <w:rFonts w:ascii="Aptos" w:eastAsia="Times New Roman" w:hAnsi="Aptos" w:cstheme="minorHAnsi"/>
                <w:sz w:val="20"/>
                <w:szCs w:val="20"/>
              </w:rPr>
            </w:pPr>
            <w:r w:rsidRPr="00891D8F">
              <w:rPr>
                <w:rFonts w:ascii="Aptos" w:eastAsia="Times New Roman" w:hAnsi="Aptos" w:cstheme="minorHAnsi"/>
                <w:sz w:val="20"/>
                <w:szCs w:val="20"/>
              </w:rPr>
              <w:t>This discussion must be organized logically with relevant headings and each risk factor should be set forth under a subcaption that adequately describes the risk. The presentation of risks that could apply generically to any </w:t>
            </w:r>
            <w:hyperlink r:id="rId30" w:history="1">
              <w:r w:rsidRPr="00891D8F">
                <w:rPr>
                  <w:rFonts w:ascii="Aptos" w:eastAsia="Times New Roman" w:hAnsi="Aptos" w:cstheme="minorHAnsi"/>
                  <w:sz w:val="20"/>
                  <w:szCs w:val="20"/>
                  <w:shd w:val="clear" w:color="auto" w:fill="FFFFFF"/>
                </w:rPr>
                <w:t>registrant</w:t>
              </w:r>
            </w:hyperlink>
            <w:r w:rsidRPr="00891D8F">
              <w:rPr>
                <w:rFonts w:ascii="Aptos" w:eastAsia="Times New Roman" w:hAnsi="Aptos" w:cstheme="minorHAnsi"/>
                <w:sz w:val="20"/>
                <w:szCs w:val="20"/>
              </w:rPr>
              <w:t> or any offering is discouraged, but to the extent generic risk factors are presented, disclose them at the end of the risk factor section under the caption “General Risk Factors.” (§229.105(a)) </w:t>
            </w:r>
          </w:p>
          <w:p w14:paraId="5E2E8EB1" w14:textId="77777777" w:rsidR="00044825" w:rsidRPr="00891D8F" w:rsidRDefault="00044825" w:rsidP="00F54D1C">
            <w:pPr>
              <w:spacing w:after="0" w:line="240" w:lineRule="auto"/>
              <w:ind w:left="90"/>
              <w:rPr>
                <w:rFonts w:ascii="Aptos" w:eastAsia="Times New Roman" w:hAnsi="Aptos" w:cstheme="minorHAnsi"/>
                <w:sz w:val="20"/>
                <w:szCs w:val="20"/>
              </w:rPr>
            </w:pPr>
            <w:r w:rsidRPr="00891D8F">
              <w:rPr>
                <w:rFonts w:ascii="Aptos" w:eastAsia="Times New Roman" w:hAnsi="Aptos" w:cstheme="minorHAnsi"/>
                <w:sz w:val="20"/>
                <w:szCs w:val="20"/>
              </w:rPr>
              <w:t> </w:t>
            </w:r>
          </w:p>
        </w:tc>
        <w:tc>
          <w:tcPr>
            <w:tcW w:w="3868" w:type="dxa"/>
            <w:tcBorders>
              <w:top w:val="single" w:sz="8" w:space="0" w:color="auto"/>
              <w:left w:val="single" w:sz="8" w:space="0" w:color="auto"/>
              <w:bottom w:val="single" w:sz="8" w:space="0" w:color="auto"/>
              <w:right w:val="single" w:sz="8" w:space="0" w:color="auto"/>
            </w:tcBorders>
            <w:tcMar>
              <w:top w:w="40" w:type="dxa"/>
              <w:left w:w="60" w:type="dxa"/>
              <w:bottom w:w="40" w:type="dxa"/>
              <w:right w:w="60" w:type="dxa"/>
            </w:tcMar>
            <w:hideMark/>
          </w:tcPr>
          <w:p w14:paraId="3B24F697" w14:textId="77777777" w:rsidR="00044825" w:rsidRPr="00891D8F" w:rsidRDefault="00044825" w:rsidP="00F54D1C">
            <w:pPr>
              <w:spacing w:after="0" w:line="240" w:lineRule="auto"/>
              <w:ind w:left="90"/>
              <w:rPr>
                <w:rFonts w:ascii="Aptos" w:eastAsia="Times New Roman" w:hAnsi="Aptos" w:cstheme="minorHAnsi"/>
                <w:sz w:val="20"/>
                <w:szCs w:val="20"/>
              </w:rPr>
            </w:pPr>
            <w:r w:rsidRPr="00891D8F">
              <w:rPr>
                <w:rFonts w:ascii="Aptos" w:eastAsia="Times New Roman" w:hAnsi="Aptos" w:cstheme="minorHAnsi"/>
                <w:sz w:val="20"/>
                <w:szCs w:val="20"/>
              </w:rPr>
              <w:t>To improve the organization and readability of risk factors, companies should place risk factors into related groupings under headings, with generic risk factors grouped together under a “General Risk Factors” heading.</w:t>
            </w:r>
          </w:p>
        </w:tc>
      </w:tr>
      <w:tr w:rsidR="00044825" w:rsidRPr="00891D8F" w14:paraId="66399583" w14:textId="77777777" w:rsidTr="00F54D1C">
        <w:trPr>
          <w:trHeight w:val="2415"/>
        </w:trPr>
        <w:tc>
          <w:tcPr>
            <w:tcW w:w="1213" w:type="dxa"/>
            <w:tcBorders>
              <w:top w:val="single" w:sz="8" w:space="0" w:color="auto"/>
              <w:left w:val="single" w:sz="8" w:space="0" w:color="auto"/>
              <w:bottom w:val="single" w:sz="8" w:space="0" w:color="auto"/>
              <w:right w:val="single" w:sz="8" w:space="0" w:color="auto"/>
            </w:tcBorders>
          </w:tcPr>
          <w:p w14:paraId="7E14DE7B" w14:textId="77777777" w:rsidR="00044825" w:rsidRPr="00891D8F" w:rsidRDefault="00044825" w:rsidP="00F54D1C">
            <w:pPr>
              <w:spacing w:after="0" w:line="240" w:lineRule="auto"/>
              <w:ind w:left="90"/>
              <w:rPr>
                <w:rFonts w:ascii="Aptos" w:eastAsia="Times New Roman" w:hAnsi="Aptos" w:cstheme="minorHAnsi"/>
                <w:sz w:val="20"/>
                <w:szCs w:val="20"/>
              </w:rPr>
            </w:pPr>
            <w:r w:rsidRPr="00891D8F">
              <w:rPr>
                <w:rFonts w:ascii="Aptos" w:eastAsia="Times New Roman" w:hAnsi="Aptos" w:cstheme="minorHAnsi"/>
                <w:sz w:val="20"/>
                <w:szCs w:val="20"/>
              </w:rPr>
              <w:t>Risk Factor Summaries for Longer Disclosures</w:t>
            </w:r>
          </w:p>
        </w:tc>
        <w:tc>
          <w:tcPr>
            <w:tcW w:w="4364" w:type="dxa"/>
            <w:tcBorders>
              <w:top w:val="single" w:sz="8" w:space="0" w:color="auto"/>
              <w:left w:val="single" w:sz="8" w:space="0" w:color="auto"/>
              <w:bottom w:val="single" w:sz="8" w:space="0" w:color="auto"/>
              <w:right w:val="single" w:sz="8" w:space="0" w:color="auto"/>
            </w:tcBorders>
            <w:tcMar>
              <w:top w:w="40" w:type="dxa"/>
              <w:left w:w="60" w:type="dxa"/>
              <w:bottom w:w="40" w:type="dxa"/>
              <w:right w:w="60" w:type="dxa"/>
            </w:tcMar>
            <w:hideMark/>
          </w:tcPr>
          <w:p w14:paraId="01A80B86" w14:textId="77777777" w:rsidR="00044825" w:rsidRPr="00891D8F" w:rsidRDefault="00044825" w:rsidP="00F54D1C">
            <w:pPr>
              <w:spacing w:after="0" w:line="240" w:lineRule="auto"/>
              <w:ind w:left="90"/>
              <w:rPr>
                <w:rFonts w:ascii="Aptos" w:eastAsia="Times New Roman" w:hAnsi="Aptos" w:cstheme="minorHAnsi"/>
                <w:sz w:val="20"/>
                <w:szCs w:val="20"/>
              </w:rPr>
            </w:pPr>
            <w:r w:rsidRPr="00891D8F">
              <w:rPr>
                <w:rFonts w:ascii="Aptos" w:eastAsia="Times New Roman" w:hAnsi="Aptos" w:cstheme="minorHAnsi"/>
                <w:sz w:val="20"/>
                <w:szCs w:val="20"/>
              </w:rPr>
              <w:t>Concisely explain how each risk affects the registrant or the securities being offered. If the discussion is longer than 15 pages, include in the forepart of the prospectus or annual report, as applicable, a series of concise, bulleted or numbered statements that is no more than two pages summarizing the principal factors that make an investment in the </w:t>
            </w:r>
            <w:hyperlink r:id="rId31" w:history="1">
              <w:r w:rsidRPr="00891D8F">
                <w:rPr>
                  <w:rFonts w:ascii="Aptos" w:eastAsia="Times New Roman" w:hAnsi="Aptos" w:cstheme="minorHAnsi"/>
                  <w:sz w:val="20"/>
                  <w:szCs w:val="20"/>
                  <w:shd w:val="clear" w:color="auto" w:fill="FFFFFF"/>
                </w:rPr>
                <w:t>registrant</w:t>
              </w:r>
            </w:hyperlink>
            <w:r w:rsidRPr="00891D8F">
              <w:rPr>
                <w:rFonts w:ascii="Aptos" w:eastAsia="Times New Roman" w:hAnsi="Aptos" w:cstheme="minorHAnsi"/>
                <w:sz w:val="20"/>
                <w:szCs w:val="20"/>
              </w:rPr>
              <w:t> or offering speculative or risky. (§229.105(b))</w:t>
            </w:r>
          </w:p>
        </w:tc>
        <w:tc>
          <w:tcPr>
            <w:tcW w:w="3868" w:type="dxa"/>
            <w:tcBorders>
              <w:top w:val="single" w:sz="8" w:space="0" w:color="auto"/>
              <w:left w:val="single" w:sz="8" w:space="0" w:color="auto"/>
              <w:bottom w:val="single" w:sz="8" w:space="0" w:color="auto"/>
              <w:right w:val="single" w:sz="8" w:space="0" w:color="auto"/>
            </w:tcBorders>
            <w:tcMar>
              <w:top w:w="40" w:type="dxa"/>
              <w:left w:w="60" w:type="dxa"/>
              <w:bottom w:w="40" w:type="dxa"/>
              <w:right w:w="60" w:type="dxa"/>
            </w:tcMar>
            <w:hideMark/>
          </w:tcPr>
          <w:p w14:paraId="26CECA74" w14:textId="77777777" w:rsidR="00044825" w:rsidRPr="00891D8F" w:rsidRDefault="00044825" w:rsidP="00F54D1C">
            <w:pPr>
              <w:spacing w:after="0" w:line="240" w:lineRule="auto"/>
              <w:ind w:left="90"/>
              <w:rPr>
                <w:rFonts w:ascii="Aptos" w:eastAsia="Times New Roman" w:hAnsi="Aptos" w:cstheme="minorHAnsi"/>
                <w:sz w:val="20"/>
                <w:szCs w:val="20"/>
              </w:rPr>
            </w:pPr>
            <w:r w:rsidRPr="00891D8F">
              <w:rPr>
                <w:rFonts w:ascii="Aptos" w:eastAsia="Times New Roman" w:hAnsi="Aptos" w:cstheme="minorHAnsi"/>
                <w:sz w:val="20"/>
                <w:szCs w:val="20"/>
              </w:rPr>
              <w:t>To “enhance the readability and usefulness” of risk factor disclosures, companies with risk factor disclosures that are more than 15 pages must include a summary of their risk factors of no more than two pages.</w:t>
            </w:r>
            <w:r w:rsidRPr="00891D8F">
              <w:rPr>
                <w:rStyle w:val="EndnoteReference"/>
                <w:rFonts w:ascii="Aptos" w:eastAsia="Times New Roman" w:hAnsi="Aptos" w:cstheme="minorHAnsi"/>
                <w:sz w:val="20"/>
                <w:szCs w:val="20"/>
              </w:rPr>
              <w:endnoteReference w:id="14"/>
            </w:r>
          </w:p>
        </w:tc>
      </w:tr>
    </w:tbl>
    <w:p w14:paraId="4A29B1F8" w14:textId="77777777" w:rsidR="00044825" w:rsidRPr="00891D8F" w:rsidRDefault="00044825" w:rsidP="00044825">
      <w:pPr>
        <w:pStyle w:val="ListParagraph"/>
        <w:spacing w:after="0" w:line="240" w:lineRule="auto"/>
        <w:ind w:left="0"/>
        <w:rPr>
          <w:rFonts w:ascii="Aptos" w:hAnsi="Aptos"/>
          <w:bCs/>
          <w:sz w:val="27"/>
          <w:szCs w:val="23"/>
        </w:rPr>
      </w:pPr>
    </w:p>
    <w:p w14:paraId="3C9D647D" w14:textId="77777777" w:rsidR="00044825" w:rsidRPr="00891D8F" w:rsidRDefault="00044825" w:rsidP="00044825">
      <w:pPr>
        <w:rPr>
          <w:rFonts w:ascii="Aptos" w:hAnsi="Aptos"/>
        </w:rPr>
      </w:pPr>
    </w:p>
    <w:p w14:paraId="7D24F0BD" w14:textId="77777777" w:rsidR="00044825" w:rsidRPr="00891D8F" w:rsidRDefault="00044825" w:rsidP="00044825">
      <w:pPr>
        <w:rPr>
          <w:rFonts w:ascii="Aptos" w:hAnsi="Aptos"/>
        </w:rPr>
      </w:pPr>
    </w:p>
    <w:p w14:paraId="0D3480FE" w14:textId="77777777" w:rsidR="00044825" w:rsidRPr="00891D8F" w:rsidRDefault="00044825" w:rsidP="00044825">
      <w:pPr>
        <w:rPr>
          <w:rFonts w:ascii="Aptos" w:hAnsi="Aptos"/>
        </w:rPr>
      </w:pPr>
    </w:p>
    <w:p w14:paraId="1EE54A70" w14:textId="77777777" w:rsidR="00044825" w:rsidRDefault="00044825" w:rsidP="005161F2">
      <w:pPr>
        <w:spacing w:line="240" w:lineRule="auto"/>
        <w:rPr>
          <w:rFonts w:ascii="Aptos" w:hAnsi="Aptos"/>
        </w:rPr>
      </w:pPr>
    </w:p>
    <w:p w14:paraId="6FB3004A" w14:textId="77777777" w:rsidR="00044825" w:rsidRDefault="00044825" w:rsidP="005161F2">
      <w:pPr>
        <w:spacing w:line="240" w:lineRule="auto"/>
        <w:rPr>
          <w:rFonts w:ascii="Aptos" w:hAnsi="Aptos"/>
        </w:rPr>
      </w:pPr>
    </w:p>
    <w:p w14:paraId="5FF0C24F" w14:textId="77777777" w:rsidR="00044825" w:rsidRDefault="00044825" w:rsidP="005161F2">
      <w:pPr>
        <w:spacing w:line="240" w:lineRule="auto"/>
        <w:rPr>
          <w:rFonts w:ascii="Aptos" w:hAnsi="Aptos"/>
        </w:rPr>
      </w:pPr>
    </w:p>
    <w:p w14:paraId="6F2B19EA" w14:textId="77777777" w:rsidR="00044825" w:rsidRDefault="00044825" w:rsidP="005161F2">
      <w:pPr>
        <w:spacing w:line="240" w:lineRule="auto"/>
        <w:rPr>
          <w:rFonts w:ascii="Aptos" w:hAnsi="Aptos"/>
        </w:rPr>
      </w:pPr>
    </w:p>
    <w:p w14:paraId="5C1DFCD0" w14:textId="77777777" w:rsidR="00044825" w:rsidRPr="005161F2" w:rsidRDefault="00044825" w:rsidP="005161F2">
      <w:pPr>
        <w:spacing w:line="240" w:lineRule="auto"/>
        <w:rPr>
          <w:rFonts w:ascii="Aptos" w:hAnsi="Aptos"/>
        </w:rPr>
      </w:pPr>
    </w:p>
    <w:sectPr w:rsidR="00044825" w:rsidRPr="005161F2" w:rsidSect="00561663">
      <w:footerReference w:type="default" r:id="rId32"/>
      <w:endnotePr>
        <w:numFmt w:val="decimal"/>
      </w:endnotePr>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6D7ED6" w14:textId="77777777" w:rsidR="00A30C15" w:rsidRDefault="00A30C15" w:rsidP="005161F2">
      <w:pPr>
        <w:spacing w:after="0" w:line="240" w:lineRule="auto"/>
      </w:pPr>
      <w:r>
        <w:separator/>
      </w:r>
    </w:p>
  </w:endnote>
  <w:endnote w:type="continuationSeparator" w:id="0">
    <w:p w14:paraId="3CC2306B" w14:textId="77777777" w:rsidR="00A30C15" w:rsidRDefault="00A30C15" w:rsidP="005161F2">
      <w:pPr>
        <w:spacing w:after="0" w:line="240" w:lineRule="auto"/>
      </w:pPr>
      <w:r>
        <w:continuationSeparator/>
      </w:r>
    </w:p>
  </w:endnote>
  <w:endnote w:id="1">
    <w:p w14:paraId="700B4CF0" w14:textId="77777777" w:rsidR="00E236E0" w:rsidRPr="0031746F" w:rsidRDefault="00E236E0" w:rsidP="00E236E0">
      <w:pPr>
        <w:pStyle w:val="EndnoteText"/>
        <w:rPr>
          <w:rFonts w:cstheme="minorHAnsi"/>
          <w:sz w:val="16"/>
          <w:szCs w:val="16"/>
        </w:rPr>
      </w:pPr>
      <w:r w:rsidRPr="0031746F">
        <w:rPr>
          <w:rFonts w:cstheme="minorHAnsi"/>
          <w:sz w:val="16"/>
          <w:szCs w:val="16"/>
        </w:rPr>
        <w:t xml:space="preserve">*As used in this document, “Deloitte” means Deloitte &amp; Touche LLP, a subsidiary of Deloitte LLP. Please see </w:t>
      </w:r>
      <w:hyperlink r:id="rId1" w:history="1">
        <w:r w:rsidRPr="0031746F">
          <w:rPr>
            <w:rStyle w:val="Hyperlink"/>
            <w:rFonts w:cstheme="minorHAnsi"/>
            <w:sz w:val="16"/>
            <w:szCs w:val="16"/>
          </w:rPr>
          <w:t>www.deloitte.com/us/about</w:t>
        </w:r>
      </w:hyperlink>
      <w:r w:rsidRPr="0031746F">
        <w:rPr>
          <w:rFonts w:cstheme="minorHAnsi"/>
          <w:sz w:val="16"/>
          <w:szCs w:val="16"/>
        </w:rPr>
        <w:t xml:space="preserve"> for a detailed description of our legal structure. Certain services may not be available to attest clients under the rules and regulations of public accounting.</w:t>
      </w:r>
    </w:p>
    <w:p w14:paraId="7C93993B" w14:textId="77777777" w:rsidR="00E236E0" w:rsidRPr="0031746F" w:rsidRDefault="00E236E0" w:rsidP="00E236E0">
      <w:pPr>
        <w:pStyle w:val="EndnoteText"/>
        <w:rPr>
          <w:rFonts w:cstheme="minorHAnsi"/>
          <w:sz w:val="16"/>
          <w:szCs w:val="16"/>
        </w:rPr>
      </w:pPr>
      <w:r w:rsidRPr="0031746F">
        <w:rPr>
          <w:rFonts w:cstheme="minorHAnsi"/>
          <w:sz w:val="16"/>
          <w:szCs w:val="16"/>
        </w:rPr>
        <w:t xml:space="preserve">** We wish to express our deep gratitude to current and former USC risk management students </w:t>
      </w:r>
      <w:r>
        <w:rPr>
          <w:rFonts w:cstheme="minorHAnsi"/>
          <w:sz w:val="16"/>
          <w:szCs w:val="16"/>
        </w:rPr>
        <w:t>Robert Cowan, Sharon Lee, Noah Yi-En Ng, Aaron Ping, Zareen Shaikh, and Sydnee Yu</w:t>
      </w:r>
      <w:r w:rsidRPr="0031746F">
        <w:rPr>
          <w:rFonts w:cstheme="minorHAnsi"/>
          <w:sz w:val="16"/>
          <w:szCs w:val="16"/>
        </w:rPr>
        <w:t xml:space="preserve"> and Deloitte team member Deidre Worth for their critical work on this project.</w:t>
      </w:r>
    </w:p>
    <w:p w14:paraId="456A6AFD" w14:textId="77777777" w:rsidR="00E236E0" w:rsidRPr="0031746F" w:rsidRDefault="00E236E0" w:rsidP="00E236E0">
      <w:pPr>
        <w:pStyle w:val="EndnoteText"/>
        <w:rPr>
          <w:rFonts w:cstheme="minorHAnsi"/>
          <w:sz w:val="16"/>
          <w:szCs w:val="16"/>
        </w:rPr>
      </w:pPr>
      <w:r w:rsidRPr="0031746F">
        <w:rPr>
          <w:rStyle w:val="EndnoteReference"/>
          <w:rFonts w:cstheme="minorHAnsi"/>
          <w:sz w:val="16"/>
          <w:szCs w:val="16"/>
        </w:rPr>
        <w:endnoteRef/>
      </w:r>
      <w:r w:rsidRPr="0031746F">
        <w:rPr>
          <w:rFonts w:cstheme="minorHAnsi"/>
          <w:sz w:val="16"/>
          <w:szCs w:val="16"/>
        </w:rPr>
        <w:t xml:space="preserve"> Securities and Exchange Commission, </w:t>
      </w:r>
      <w:r w:rsidRPr="0031746F">
        <w:rPr>
          <w:rFonts w:cstheme="minorHAnsi"/>
          <w:i/>
          <w:iCs/>
          <w:sz w:val="16"/>
          <w:szCs w:val="16"/>
        </w:rPr>
        <w:t>Final Rule: Modernization of Regulation S-K Items 101, 103, and 105</w:t>
      </w:r>
      <w:r w:rsidRPr="0031746F">
        <w:rPr>
          <w:rFonts w:cstheme="minorHAnsi"/>
          <w:sz w:val="16"/>
          <w:szCs w:val="16"/>
        </w:rPr>
        <w:t>, Release No. 33-10825 (Aug. 26, 2020) [85 FR 63726, 63744 (Oct. 8, 2020)</w:t>
      </w:r>
      <w:r>
        <w:rPr>
          <w:rFonts w:cstheme="minorHAnsi"/>
          <w:sz w:val="16"/>
          <w:szCs w:val="16"/>
        </w:rPr>
        <w:t>]</w:t>
      </w:r>
      <w:r w:rsidRPr="0031746F">
        <w:rPr>
          <w:rFonts w:cstheme="minorHAnsi"/>
          <w:sz w:val="16"/>
          <w:szCs w:val="16"/>
        </w:rPr>
        <w:t xml:space="preserve"> [</w:t>
      </w:r>
      <w:r w:rsidRPr="0031746F">
        <w:rPr>
          <w:rFonts w:cstheme="minorHAnsi"/>
          <w:i/>
          <w:iCs/>
          <w:sz w:val="16"/>
          <w:szCs w:val="16"/>
        </w:rPr>
        <w:t>hereinafter</w:t>
      </w:r>
      <w:r w:rsidRPr="0031746F">
        <w:rPr>
          <w:rFonts w:cstheme="minorHAnsi"/>
          <w:sz w:val="16"/>
          <w:szCs w:val="16"/>
        </w:rPr>
        <w:t xml:space="preserve"> </w:t>
      </w:r>
      <w:r w:rsidRPr="0031746F">
        <w:rPr>
          <w:rFonts w:cstheme="minorHAnsi"/>
          <w:i/>
          <w:iCs/>
          <w:sz w:val="16"/>
          <w:szCs w:val="16"/>
        </w:rPr>
        <w:t>Final Rule</w:t>
      </w:r>
      <w:r w:rsidRPr="0031746F">
        <w:rPr>
          <w:rFonts w:cstheme="minorHAnsi"/>
          <w:sz w:val="16"/>
          <w:szCs w:val="16"/>
        </w:rPr>
        <w:t>].</w:t>
      </w:r>
    </w:p>
  </w:endnote>
  <w:endnote w:id="2">
    <w:p w14:paraId="1E973DCF" w14:textId="77777777" w:rsidR="00E236E0" w:rsidRPr="0031746F" w:rsidRDefault="00E236E0" w:rsidP="00E236E0">
      <w:pPr>
        <w:pStyle w:val="FootnoteText"/>
        <w:rPr>
          <w:rFonts w:cstheme="minorHAnsi"/>
          <w:sz w:val="16"/>
          <w:szCs w:val="16"/>
        </w:rPr>
      </w:pPr>
      <w:r w:rsidRPr="0031746F">
        <w:rPr>
          <w:rStyle w:val="EndnoteReference"/>
          <w:rFonts w:cstheme="minorHAnsi"/>
          <w:sz w:val="16"/>
          <w:szCs w:val="16"/>
        </w:rPr>
        <w:endnoteRef/>
      </w:r>
      <w:r w:rsidRPr="0031746F">
        <w:rPr>
          <w:rFonts w:cstheme="minorHAnsi"/>
          <w:sz w:val="16"/>
          <w:szCs w:val="16"/>
        </w:rPr>
        <w:t xml:space="preserve"> In this report, we have used the sectors set forth in the Global Industry Classification Standard (GICS). We have disclosed average data rather than median data given the limited difference between the average data and median data for the 4</w:t>
      </w:r>
      <w:r>
        <w:rPr>
          <w:rFonts w:cstheme="minorHAnsi"/>
          <w:sz w:val="16"/>
          <w:szCs w:val="16"/>
        </w:rPr>
        <w:t>27</w:t>
      </w:r>
      <w:r w:rsidRPr="0031746F">
        <w:rPr>
          <w:rFonts w:cstheme="minorHAnsi"/>
          <w:sz w:val="16"/>
          <w:szCs w:val="16"/>
        </w:rPr>
        <w:t xml:space="preserve"> S&amp;P 500 companies reviewed.  </w:t>
      </w:r>
    </w:p>
  </w:endnote>
  <w:endnote w:id="3">
    <w:p w14:paraId="2B2AF622" w14:textId="77777777" w:rsidR="00E236E0" w:rsidRPr="0031746F" w:rsidRDefault="00E236E0" w:rsidP="00E236E0">
      <w:pPr>
        <w:pStyle w:val="EndnoteText"/>
        <w:rPr>
          <w:rFonts w:cstheme="minorHAnsi"/>
          <w:sz w:val="16"/>
          <w:szCs w:val="16"/>
        </w:rPr>
      </w:pPr>
      <w:r w:rsidRPr="0031746F">
        <w:rPr>
          <w:rStyle w:val="EndnoteReference"/>
          <w:rFonts w:cstheme="minorHAnsi"/>
          <w:sz w:val="16"/>
          <w:szCs w:val="16"/>
        </w:rPr>
        <w:endnoteRef/>
      </w:r>
      <w:r w:rsidRPr="0031746F">
        <w:rPr>
          <w:rFonts w:cstheme="minorHAnsi"/>
          <w:sz w:val="16"/>
          <w:szCs w:val="16"/>
        </w:rPr>
        <w:t xml:space="preserve"> </w:t>
      </w:r>
      <w:r w:rsidRPr="0031746F">
        <w:rPr>
          <w:rFonts w:cstheme="minorHAnsi"/>
          <w:i/>
          <w:iCs/>
          <w:sz w:val="16"/>
          <w:szCs w:val="16"/>
        </w:rPr>
        <w:t xml:space="preserve">Final Rule </w:t>
      </w:r>
      <w:r w:rsidRPr="0031746F">
        <w:rPr>
          <w:rFonts w:cstheme="minorHAnsi"/>
          <w:sz w:val="16"/>
          <w:szCs w:val="16"/>
        </w:rPr>
        <w:t>at 637</w:t>
      </w:r>
      <w:r>
        <w:rPr>
          <w:rFonts w:cstheme="minorHAnsi"/>
          <w:sz w:val="16"/>
          <w:szCs w:val="16"/>
        </w:rPr>
        <w:t>61</w:t>
      </w:r>
      <w:r w:rsidRPr="0031746F">
        <w:rPr>
          <w:rFonts w:cstheme="minorHAnsi"/>
          <w:sz w:val="16"/>
          <w:szCs w:val="16"/>
        </w:rPr>
        <w:t xml:space="preserve"> (“The presentation of risks that could apply generically to any registrant or any offering is discouraged, but to the extent generic risk factors are presented, disclose them at the end of the risk factor section under the caption ‘General Risk Factors.’’’).</w:t>
      </w:r>
    </w:p>
  </w:endnote>
  <w:endnote w:id="4">
    <w:p w14:paraId="2A313837" w14:textId="77777777" w:rsidR="00E236E0" w:rsidRPr="00276A94" w:rsidRDefault="00E236E0" w:rsidP="00E236E0">
      <w:pPr>
        <w:pStyle w:val="EndnoteText"/>
        <w:rPr>
          <w:rFonts w:ascii="Calibri" w:hAnsi="Calibri" w:cs="Calibri"/>
          <w:sz w:val="16"/>
          <w:szCs w:val="16"/>
        </w:rPr>
      </w:pPr>
      <w:r w:rsidRPr="00276A94">
        <w:rPr>
          <w:rStyle w:val="EndnoteReference"/>
          <w:rFonts w:ascii="Calibri" w:hAnsi="Calibri" w:cs="Calibri"/>
          <w:sz w:val="16"/>
          <w:szCs w:val="16"/>
        </w:rPr>
        <w:endnoteRef/>
      </w:r>
      <w:r w:rsidRPr="00276A94">
        <w:rPr>
          <w:rFonts w:ascii="Calibri" w:hAnsi="Calibri" w:cs="Calibri"/>
          <w:sz w:val="16"/>
          <w:szCs w:val="16"/>
        </w:rPr>
        <w:t xml:space="preserve"> Mayer Brown, </w:t>
      </w:r>
      <w:r w:rsidRPr="00276A94">
        <w:rPr>
          <w:rFonts w:ascii="Calibri" w:hAnsi="Calibri" w:cs="Calibri"/>
          <w:i/>
          <w:iCs/>
          <w:sz w:val="16"/>
          <w:szCs w:val="16"/>
        </w:rPr>
        <w:t>Executive Order Tracker</w:t>
      </w:r>
      <w:r w:rsidRPr="00276A94">
        <w:rPr>
          <w:rFonts w:ascii="Calibri" w:hAnsi="Calibri" w:cs="Calibri"/>
          <w:sz w:val="16"/>
          <w:szCs w:val="16"/>
        </w:rPr>
        <w:t xml:space="preserve">. Available at </w:t>
      </w:r>
      <w:hyperlink r:id="rId2" w:history="1">
        <w:r w:rsidRPr="00276A94">
          <w:rPr>
            <w:rStyle w:val="Hyperlink"/>
            <w:rFonts w:ascii="Calibri" w:hAnsi="Calibri" w:cs="Calibri"/>
            <w:sz w:val="16"/>
            <w:szCs w:val="16"/>
          </w:rPr>
          <w:t>https://www.mayerbrown.com/en/insights/resource-centers/washington-update/trump-2-executive-order-tracker</w:t>
        </w:r>
      </w:hyperlink>
      <w:r w:rsidRPr="00276A94">
        <w:rPr>
          <w:rFonts w:ascii="Calibri" w:hAnsi="Calibri" w:cs="Calibri"/>
          <w:sz w:val="16"/>
          <w:szCs w:val="16"/>
        </w:rPr>
        <w:t xml:space="preserve">; Akin Gump Strauss Hauer &amp; Feld LLP, </w:t>
      </w:r>
      <w:r w:rsidRPr="000A3918">
        <w:rPr>
          <w:rFonts w:ascii="Calibri" w:hAnsi="Calibri" w:cs="Calibri"/>
          <w:i/>
          <w:iCs/>
          <w:sz w:val="16"/>
          <w:szCs w:val="16"/>
        </w:rPr>
        <w:t>Trump Executive Order Tracker</w:t>
      </w:r>
      <w:r w:rsidRPr="00276A94">
        <w:rPr>
          <w:rFonts w:ascii="Calibri" w:hAnsi="Calibri" w:cs="Calibri"/>
          <w:sz w:val="16"/>
          <w:szCs w:val="16"/>
        </w:rPr>
        <w:t xml:space="preserve">. Available at </w:t>
      </w:r>
      <w:hyperlink r:id="rId3" w:history="1">
        <w:r w:rsidRPr="00276A94">
          <w:rPr>
            <w:rStyle w:val="Hyperlink"/>
            <w:rFonts w:ascii="Calibri" w:hAnsi="Calibri" w:cs="Calibri"/>
            <w:sz w:val="16"/>
            <w:szCs w:val="16"/>
          </w:rPr>
          <w:t>https://www.akingump.com/en/insights/blogs/trump-executive-order-tracker?bc=1107233</w:t>
        </w:r>
      </w:hyperlink>
      <w:r w:rsidRPr="00276A94">
        <w:rPr>
          <w:rFonts w:ascii="Calibri" w:hAnsi="Calibri" w:cs="Calibri"/>
          <w:sz w:val="16"/>
          <w:szCs w:val="16"/>
        </w:rPr>
        <w:t xml:space="preserve">. </w:t>
      </w:r>
    </w:p>
  </w:endnote>
  <w:endnote w:id="5">
    <w:p w14:paraId="3D4662DB" w14:textId="291D5A5E" w:rsidR="00E236E0" w:rsidRPr="00276A94" w:rsidRDefault="00E236E0" w:rsidP="00E236E0">
      <w:pPr>
        <w:pStyle w:val="EndnoteText"/>
        <w:rPr>
          <w:rFonts w:ascii="Calibri" w:hAnsi="Calibri" w:cs="Calibri"/>
          <w:sz w:val="16"/>
          <w:szCs w:val="16"/>
        </w:rPr>
      </w:pPr>
      <w:r w:rsidRPr="00276A94">
        <w:rPr>
          <w:rStyle w:val="EndnoteReference"/>
          <w:rFonts w:ascii="Calibri" w:hAnsi="Calibri" w:cs="Calibri"/>
          <w:sz w:val="16"/>
          <w:szCs w:val="16"/>
        </w:rPr>
        <w:endnoteRef/>
      </w:r>
      <w:r w:rsidRPr="00276A94">
        <w:rPr>
          <w:rFonts w:ascii="Calibri" w:hAnsi="Calibri" w:cs="Calibri"/>
          <w:sz w:val="16"/>
          <w:szCs w:val="16"/>
        </w:rPr>
        <w:t xml:space="preserve"> </w:t>
      </w:r>
      <w:r w:rsidR="00E615FE">
        <w:rPr>
          <w:rFonts w:ascii="Calibri" w:hAnsi="Calibri" w:cs="Calibri"/>
          <w:sz w:val="16"/>
          <w:szCs w:val="16"/>
        </w:rPr>
        <w:t xml:space="preserve">The </w:t>
      </w:r>
      <w:r w:rsidRPr="00276A94">
        <w:rPr>
          <w:rFonts w:ascii="Calibri" w:hAnsi="Calibri" w:cs="Calibri"/>
          <w:sz w:val="16"/>
          <w:szCs w:val="16"/>
        </w:rPr>
        <w:t>SEC states in its Form 10-Q requirements: “Item 1A. Risk Factors. Set forth any material changes from risk factors as previously disclosed in the registrant's Form 10-K (§249.310) in response to Item 1A. to Part 1 of Form 10-K.”</w:t>
      </w:r>
    </w:p>
  </w:endnote>
  <w:endnote w:id="6">
    <w:p w14:paraId="504B5355" w14:textId="77777777" w:rsidR="00E236E0" w:rsidRPr="00276A94" w:rsidRDefault="00E236E0" w:rsidP="00E236E0">
      <w:pPr>
        <w:pStyle w:val="EndnoteText"/>
        <w:rPr>
          <w:rFonts w:ascii="Calibri" w:hAnsi="Calibri" w:cs="Calibri"/>
          <w:sz w:val="16"/>
          <w:szCs w:val="16"/>
        </w:rPr>
      </w:pPr>
      <w:r w:rsidRPr="00276A94">
        <w:rPr>
          <w:rStyle w:val="EndnoteReference"/>
          <w:rFonts w:ascii="Calibri" w:hAnsi="Calibri" w:cs="Calibri"/>
          <w:sz w:val="16"/>
          <w:szCs w:val="16"/>
        </w:rPr>
        <w:endnoteRef/>
      </w:r>
      <w:r w:rsidRPr="00276A94">
        <w:rPr>
          <w:rFonts w:ascii="Calibri" w:hAnsi="Calibri" w:cs="Calibri"/>
          <w:sz w:val="16"/>
          <w:szCs w:val="16"/>
        </w:rPr>
        <w:t xml:space="preserve"> On April 2, 2025, the Trump Administration announced a broad set of tariffs on imported goods. Executive Order, </w:t>
      </w:r>
      <w:r w:rsidRPr="00276A94">
        <w:rPr>
          <w:rFonts w:ascii="Calibri" w:hAnsi="Calibri" w:cs="Calibri"/>
          <w:i/>
          <w:iCs/>
          <w:sz w:val="16"/>
          <w:szCs w:val="16"/>
        </w:rPr>
        <w:t>Regulating Imports with a Reciprocal Tariff to Rectify Trade Practices that Contribute to Large and Persistent Annual United States Goods Trade Deficits</w:t>
      </w:r>
      <w:r w:rsidRPr="00276A94">
        <w:rPr>
          <w:rFonts w:ascii="Calibri" w:hAnsi="Calibri" w:cs="Calibri"/>
          <w:sz w:val="16"/>
          <w:szCs w:val="16"/>
        </w:rPr>
        <w:t xml:space="preserve"> (April 2, 2025).</w:t>
      </w:r>
    </w:p>
  </w:endnote>
  <w:endnote w:id="7">
    <w:p w14:paraId="74C8D3AB" w14:textId="77777777" w:rsidR="00E236E0" w:rsidRPr="00B25E71" w:rsidRDefault="00E236E0" w:rsidP="00E236E0">
      <w:pPr>
        <w:pStyle w:val="EndnoteText"/>
        <w:rPr>
          <w:sz w:val="16"/>
          <w:szCs w:val="16"/>
        </w:rPr>
      </w:pPr>
      <w:r w:rsidRPr="00276A94">
        <w:rPr>
          <w:rStyle w:val="EndnoteReference"/>
          <w:rFonts w:ascii="Calibri" w:hAnsi="Calibri" w:cs="Calibri"/>
          <w:sz w:val="16"/>
          <w:szCs w:val="16"/>
        </w:rPr>
        <w:endnoteRef/>
      </w:r>
      <w:r w:rsidRPr="00276A94">
        <w:rPr>
          <w:rFonts w:ascii="Calibri" w:hAnsi="Calibri" w:cs="Calibri"/>
          <w:sz w:val="16"/>
          <w:szCs w:val="16"/>
        </w:rPr>
        <w:t xml:space="preserve"> Note that we reviewed the second quarterly reports of 3</w:t>
      </w:r>
      <w:r>
        <w:rPr>
          <w:rFonts w:ascii="Calibri" w:hAnsi="Calibri" w:cs="Calibri"/>
          <w:sz w:val="16"/>
          <w:szCs w:val="16"/>
        </w:rPr>
        <w:t>5</w:t>
      </w:r>
      <w:r w:rsidRPr="00276A94">
        <w:rPr>
          <w:rFonts w:ascii="Calibri" w:hAnsi="Calibri" w:cs="Calibri"/>
          <w:sz w:val="16"/>
          <w:szCs w:val="16"/>
        </w:rPr>
        <w:t xml:space="preserve"> companies as their first quarterly reports were filed before April 2, 2025. The other 392 companies filed their first quarterly reports after April 2, 2025.</w:t>
      </w:r>
    </w:p>
  </w:endnote>
  <w:endnote w:id="8">
    <w:p w14:paraId="2F0C6C6E" w14:textId="77777777" w:rsidR="00046EF6" w:rsidRPr="008A0CEA" w:rsidRDefault="00046EF6" w:rsidP="00046EF6">
      <w:pPr>
        <w:pStyle w:val="EndnoteText"/>
        <w:rPr>
          <w:sz w:val="16"/>
          <w:szCs w:val="16"/>
        </w:rPr>
      </w:pPr>
      <w:r w:rsidRPr="008A0CEA">
        <w:rPr>
          <w:rStyle w:val="EndnoteReference"/>
          <w:sz w:val="16"/>
          <w:szCs w:val="16"/>
        </w:rPr>
        <w:endnoteRef/>
      </w:r>
      <w:r w:rsidRPr="008A0CEA">
        <w:rPr>
          <w:sz w:val="16"/>
          <w:szCs w:val="16"/>
        </w:rPr>
        <w:t xml:space="preserve"> SEC, </w:t>
      </w:r>
      <w:r w:rsidRPr="008A0CEA">
        <w:rPr>
          <w:i/>
          <w:iCs/>
          <w:sz w:val="16"/>
          <w:szCs w:val="16"/>
        </w:rPr>
        <w:t>Final Rule: Securities Offering Reform</w:t>
      </w:r>
      <w:r w:rsidRPr="008A0CEA">
        <w:rPr>
          <w:sz w:val="16"/>
          <w:szCs w:val="16"/>
        </w:rPr>
        <w:t xml:space="preserve">, Release No. 33-8591 (November 3, 2004) [70 FR 44722, 44786] (Aug. 3, 2005). </w:t>
      </w:r>
      <w:r>
        <w:rPr>
          <w:sz w:val="16"/>
          <w:szCs w:val="16"/>
        </w:rPr>
        <w:t xml:space="preserve">See also Goodwin Public Company Advisory Practice, </w:t>
      </w:r>
      <w:r w:rsidRPr="008A0CEA">
        <w:rPr>
          <w:i/>
          <w:iCs/>
          <w:sz w:val="16"/>
          <w:szCs w:val="16"/>
        </w:rPr>
        <w:t>Form 10-Q Risk Factor Updating Considerations – Quarter Ended June 30, 2002</w:t>
      </w:r>
      <w:r>
        <w:rPr>
          <w:sz w:val="16"/>
          <w:szCs w:val="16"/>
        </w:rPr>
        <w:t xml:space="preserve"> (July 13, 2022).</w:t>
      </w:r>
    </w:p>
  </w:endnote>
  <w:endnote w:id="9">
    <w:p w14:paraId="0AA89540" w14:textId="77777777" w:rsidR="00046EF6" w:rsidRPr="0031746F" w:rsidRDefault="00046EF6" w:rsidP="00046EF6">
      <w:pPr>
        <w:pStyle w:val="EndnoteText"/>
        <w:rPr>
          <w:rFonts w:cstheme="minorHAnsi"/>
          <w:sz w:val="16"/>
          <w:szCs w:val="16"/>
        </w:rPr>
      </w:pPr>
      <w:r w:rsidRPr="0031746F">
        <w:rPr>
          <w:rStyle w:val="EndnoteReference"/>
          <w:rFonts w:cstheme="minorHAnsi"/>
          <w:sz w:val="16"/>
          <w:szCs w:val="16"/>
        </w:rPr>
        <w:endnoteRef/>
      </w:r>
      <w:r w:rsidRPr="0031746F">
        <w:rPr>
          <w:rFonts w:cstheme="minorHAnsi"/>
          <w:sz w:val="16"/>
          <w:szCs w:val="16"/>
        </w:rPr>
        <w:t xml:space="preserve"> </w:t>
      </w:r>
      <w:r w:rsidRPr="0031746F">
        <w:rPr>
          <w:rFonts w:cstheme="minorHAnsi"/>
          <w:i/>
          <w:sz w:val="16"/>
          <w:szCs w:val="16"/>
        </w:rPr>
        <w:t>Final Rule</w:t>
      </w:r>
      <w:r w:rsidRPr="0031746F">
        <w:rPr>
          <w:rFonts w:cstheme="minorHAnsi"/>
          <w:sz w:val="16"/>
          <w:szCs w:val="16"/>
        </w:rPr>
        <w:t xml:space="preserve"> at 63748.</w:t>
      </w:r>
    </w:p>
  </w:endnote>
  <w:endnote w:id="10">
    <w:p w14:paraId="00727133" w14:textId="77777777" w:rsidR="00046EF6" w:rsidRPr="0031746F" w:rsidRDefault="00046EF6" w:rsidP="00046EF6">
      <w:pPr>
        <w:pStyle w:val="EndnoteText"/>
        <w:rPr>
          <w:rFonts w:cstheme="minorHAnsi"/>
          <w:sz w:val="16"/>
          <w:szCs w:val="16"/>
        </w:rPr>
      </w:pPr>
      <w:r w:rsidRPr="0031746F">
        <w:rPr>
          <w:rStyle w:val="EndnoteReference"/>
          <w:rFonts w:cstheme="minorHAnsi"/>
          <w:sz w:val="16"/>
          <w:szCs w:val="16"/>
        </w:rPr>
        <w:endnoteRef/>
      </w:r>
      <w:r w:rsidRPr="0031746F">
        <w:rPr>
          <w:rFonts w:cstheme="minorHAnsi"/>
          <w:sz w:val="16"/>
          <w:szCs w:val="16"/>
        </w:rPr>
        <w:t xml:space="preserve"> </w:t>
      </w:r>
      <w:r w:rsidRPr="0031746F">
        <w:rPr>
          <w:rFonts w:cstheme="minorHAnsi"/>
          <w:i/>
          <w:iCs/>
          <w:sz w:val="16"/>
          <w:szCs w:val="16"/>
        </w:rPr>
        <w:t>Final Rule</w:t>
      </w:r>
      <w:r w:rsidRPr="0031746F">
        <w:rPr>
          <w:rFonts w:cstheme="minorHAnsi"/>
          <w:sz w:val="16"/>
          <w:szCs w:val="16"/>
        </w:rPr>
        <w:t xml:space="preserve"> at 63742-43.</w:t>
      </w:r>
    </w:p>
  </w:endnote>
  <w:endnote w:id="11">
    <w:p w14:paraId="416D66CD" w14:textId="77777777" w:rsidR="00046EF6" w:rsidRPr="0031746F" w:rsidRDefault="00046EF6" w:rsidP="00046EF6">
      <w:pPr>
        <w:pStyle w:val="EndnoteText"/>
        <w:rPr>
          <w:rFonts w:cstheme="minorHAnsi"/>
          <w:sz w:val="16"/>
          <w:szCs w:val="16"/>
        </w:rPr>
      </w:pPr>
      <w:r w:rsidRPr="0031746F">
        <w:rPr>
          <w:rStyle w:val="EndnoteReference"/>
          <w:rFonts w:cstheme="minorHAnsi"/>
          <w:sz w:val="16"/>
          <w:szCs w:val="16"/>
        </w:rPr>
        <w:endnoteRef/>
      </w:r>
      <w:r w:rsidRPr="0031746F">
        <w:rPr>
          <w:rFonts w:cstheme="minorHAnsi"/>
          <w:sz w:val="16"/>
          <w:szCs w:val="16"/>
        </w:rPr>
        <w:t xml:space="preserve"> For example, the Committee of Sponsoring Organizations of the Treadway Commission (COSO) sets forth in its 2017 </w:t>
      </w:r>
      <w:r w:rsidRPr="0031746F">
        <w:rPr>
          <w:rFonts w:cstheme="minorHAnsi"/>
          <w:i/>
          <w:iCs/>
          <w:sz w:val="16"/>
          <w:szCs w:val="16"/>
        </w:rPr>
        <w:t>Enterprise Risk Management: Integrating with Strategy and Performance</w:t>
      </w:r>
      <w:r w:rsidRPr="0031746F">
        <w:rPr>
          <w:rFonts w:cstheme="minorHAnsi"/>
          <w:sz w:val="16"/>
          <w:szCs w:val="16"/>
        </w:rPr>
        <w:t xml:space="preserve"> external environment risk categories, such as political, economic, social, technological, legal, and environmental, and internal environment risk categories, such as capital, people, process, and technology. COSO, </w:t>
      </w:r>
      <w:r w:rsidRPr="0031746F">
        <w:rPr>
          <w:rFonts w:cstheme="minorHAnsi"/>
          <w:i/>
          <w:iCs/>
          <w:sz w:val="16"/>
          <w:szCs w:val="16"/>
        </w:rPr>
        <w:t>Enterprise Risk Management: Integrating with Strategy and Performance</w:t>
      </w:r>
      <w:r w:rsidRPr="0031746F">
        <w:rPr>
          <w:rFonts w:cstheme="minorHAnsi"/>
          <w:sz w:val="16"/>
          <w:szCs w:val="16"/>
        </w:rPr>
        <w:t xml:space="preserve"> </w:t>
      </w:r>
      <w:r w:rsidRPr="00051084">
        <w:rPr>
          <w:rFonts w:cstheme="minorHAnsi"/>
          <w:sz w:val="16"/>
          <w:szCs w:val="16"/>
        </w:rPr>
        <w:t>47</w:t>
      </w:r>
      <w:r w:rsidRPr="0031746F">
        <w:rPr>
          <w:rFonts w:cstheme="minorHAnsi"/>
          <w:sz w:val="16"/>
          <w:szCs w:val="16"/>
        </w:rPr>
        <w:t xml:space="preserve"> (2017).</w:t>
      </w:r>
    </w:p>
  </w:endnote>
  <w:endnote w:id="12">
    <w:p w14:paraId="1D0DA5EF" w14:textId="77777777" w:rsidR="00046EF6" w:rsidRPr="0031746F" w:rsidRDefault="00046EF6" w:rsidP="00046EF6">
      <w:pPr>
        <w:pStyle w:val="EndnoteText"/>
        <w:rPr>
          <w:rFonts w:cstheme="minorHAnsi"/>
          <w:sz w:val="16"/>
          <w:szCs w:val="16"/>
        </w:rPr>
      </w:pPr>
      <w:r w:rsidRPr="0031746F">
        <w:rPr>
          <w:rStyle w:val="EndnoteReference"/>
          <w:rFonts w:cstheme="minorHAnsi"/>
          <w:sz w:val="16"/>
          <w:szCs w:val="16"/>
        </w:rPr>
        <w:endnoteRef/>
      </w:r>
      <w:r w:rsidRPr="0031746F">
        <w:rPr>
          <w:rFonts w:cstheme="minorHAnsi"/>
          <w:sz w:val="16"/>
          <w:szCs w:val="16"/>
        </w:rPr>
        <w:t xml:space="preserve"> Martin Cutts, </w:t>
      </w:r>
      <w:r w:rsidRPr="0031746F">
        <w:rPr>
          <w:rFonts w:cstheme="minorHAnsi"/>
          <w:i/>
          <w:iCs/>
          <w:sz w:val="16"/>
          <w:szCs w:val="16"/>
        </w:rPr>
        <w:t>Oxford Guide to Plain English</w:t>
      </w:r>
      <w:r w:rsidRPr="0031746F">
        <w:rPr>
          <w:rFonts w:cstheme="minorHAnsi"/>
          <w:sz w:val="16"/>
          <w:szCs w:val="16"/>
        </w:rPr>
        <w:t>, 5</w:t>
      </w:r>
      <w:r w:rsidRPr="0031746F">
        <w:rPr>
          <w:rFonts w:cstheme="minorHAnsi"/>
          <w:sz w:val="16"/>
          <w:szCs w:val="16"/>
          <w:vertAlign w:val="superscript"/>
        </w:rPr>
        <w:t>th</w:t>
      </w:r>
      <w:r w:rsidRPr="0031746F">
        <w:rPr>
          <w:rFonts w:cstheme="minorHAnsi"/>
          <w:sz w:val="16"/>
          <w:szCs w:val="16"/>
        </w:rPr>
        <w:t xml:space="preserve"> ed. </w:t>
      </w:r>
      <w:r w:rsidRPr="00051084">
        <w:rPr>
          <w:rFonts w:cstheme="minorHAnsi"/>
          <w:sz w:val="16"/>
          <w:szCs w:val="16"/>
        </w:rPr>
        <w:t>22</w:t>
      </w:r>
      <w:r w:rsidRPr="0031746F">
        <w:rPr>
          <w:rFonts w:cstheme="minorHAnsi"/>
          <w:sz w:val="16"/>
          <w:szCs w:val="16"/>
        </w:rPr>
        <w:t xml:space="preserve"> (Oxford: Oxford University Press, Feb. 27, 2020). </w:t>
      </w:r>
    </w:p>
  </w:endnote>
  <w:endnote w:id="13">
    <w:p w14:paraId="166E185B" w14:textId="77777777" w:rsidR="00044825" w:rsidRPr="0031746F" w:rsidRDefault="00044825" w:rsidP="00044825">
      <w:pPr>
        <w:spacing w:after="0" w:line="240" w:lineRule="auto"/>
        <w:rPr>
          <w:rFonts w:cstheme="minorHAnsi"/>
          <w:sz w:val="16"/>
          <w:szCs w:val="16"/>
        </w:rPr>
      </w:pPr>
      <w:r w:rsidRPr="0031746F">
        <w:rPr>
          <w:rStyle w:val="EndnoteReference"/>
          <w:rFonts w:cstheme="minorHAnsi"/>
          <w:sz w:val="16"/>
          <w:szCs w:val="16"/>
        </w:rPr>
        <w:endnoteRef/>
      </w:r>
      <w:r w:rsidRPr="0031746F">
        <w:rPr>
          <w:rFonts w:cstheme="minorHAnsi"/>
          <w:sz w:val="16"/>
          <w:szCs w:val="16"/>
        </w:rPr>
        <w:t xml:space="preserve"> </w:t>
      </w:r>
      <w:r w:rsidRPr="0031746F">
        <w:rPr>
          <w:rFonts w:cstheme="minorHAnsi"/>
          <w:i/>
          <w:sz w:val="16"/>
          <w:szCs w:val="16"/>
        </w:rPr>
        <w:t>Final Rule</w:t>
      </w:r>
      <w:r w:rsidRPr="0031746F">
        <w:rPr>
          <w:rFonts w:cstheme="minorHAnsi"/>
          <w:sz w:val="16"/>
          <w:szCs w:val="16"/>
        </w:rPr>
        <w:t xml:space="preserve"> at 63744.</w:t>
      </w:r>
    </w:p>
  </w:endnote>
  <w:endnote w:id="14">
    <w:p w14:paraId="18A926BD" w14:textId="77777777" w:rsidR="00044825" w:rsidRPr="0031746F" w:rsidRDefault="00044825" w:rsidP="00044825">
      <w:pPr>
        <w:pStyle w:val="EndnoteText"/>
        <w:rPr>
          <w:rFonts w:cstheme="minorHAnsi"/>
          <w:sz w:val="16"/>
          <w:szCs w:val="16"/>
        </w:rPr>
      </w:pPr>
      <w:r w:rsidRPr="0031746F">
        <w:rPr>
          <w:rStyle w:val="EndnoteReference"/>
          <w:rFonts w:cstheme="minorHAnsi"/>
          <w:sz w:val="16"/>
          <w:szCs w:val="16"/>
        </w:rPr>
        <w:endnoteRef/>
      </w:r>
      <w:r w:rsidRPr="0031746F">
        <w:rPr>
          <w:rFonts w:cstheme="minorHAnsi"/>
          <w:sz w:val="16"/>
          <w:szCs w:val="16"/>
        </w:rPr>
        <w:t xml:space="preserve"> </w:t>
      </w:r>
      <w:r w:rsidRPr="0031746F">
        <w:rPr>
          <w:rFonts w:cstheme="minorHAnsi"/>
          <w:i/>
          <w:sz w:val="16"/>
          <w:szCs w:val="16"/>
        </w:rPr>
        <w:t xml:space="preserve">Id. </w:t>
      </w:r>
      <w:r w:rsidRPr="0031746F">
        <w:rPr>
          <w:rFonts w:cstheme="minorHAnsi"/>
          <w:sz w:val="16"/>
          <w:szCs w:val="16"/>
        </w:rPr>
        <w:t>at 63743.</w:t>
      </w:r>
    </w:p>
    <w:p w14:paraId="2C3FE5AC" w14:textId="77777777" w:rsidR="00044825" w:rsidRDefault="00044825" w:rsidP="00044825">
      <w:pPr>
        <w:pStyle w:val="EndnoteText"/>
        <w:rPr>
          <w:rFonts w:asciiTheme="majorHAnsi" w:hAnsiTheme="majorHAnsi" w:cstheme="majorHAnsi"/>
          <w:sz w:val="32"/>
          <w:szCs w:val="32"/>
        </w:rPr>
      </w:pPr>
    </w:p>
    <w:p w14:paraId="2A5AB620" w14:textId="77777777" w:rsidR="00044825" w:rsidRPr="0031746F" w:rsidRDefault="00044825" w:rsidP="00044825">
      <w:pPr>
        <w:pStyle w:val="EndnoteText"/>
        <w:rPr>
          <w:rFonts w:asciiTheme="majorHAnsi" w:hAnsiTheme="majorHAnsi" w:cstheme="majorHAnsi"/>
        </w:rPr>
      </w:pPr>
    </w:p>
    <w:p w14:paraId="7D2CFFF0" w14:textId="77777777" w:rsidR="00044825" w:rsidRDefault="00044825" w:rsidP="00044825">
      <w:pPr>
        <w:pStyle w:val="EndnoteText"/>
        <w:rPr>
          <w:rFonts w:cstheme="minorHAnsi"/>
          <w:b/>
          <w:bCs/>
          <w:sz w:val="40"/>
          <w:szCs w:val="40"/>
        </w:rPr>
      </w:pPr>
    </w:p>
    <w:p w14:paraId="7EBCE763" w14:textId="77777777" w:rsidR="00044825" w:rsidRDefault="00044825" w:rsidP="00044825">
      <w:pPr>
        <w:pStyle w:val="EndnoteText"/>
        <w:rPr>
          <w:rFonts w:cstheme="minorHAnsi"/>
          <w:b/>
          <w:bCs/>
          <w:sz w:val="40"/>
          <w:szCs w:val="40"/>
        </w:rPr>
      </w:pPr>
    </w:p>
    <w:p w14:paraId="66D08BF3" w14:textId="77777777" w:rsidR="00044825" w:rsidRDefault="00044825" w:rsidP="00044825">
      <w:pPr>
        <w:pStyle w:val="EndnoteText"/>
        <w:rPr>
          <w:rFonts w:cstheme="minorHAnsi"/>
          <w:b/>
          <w:bCs/>
          <w:sz w:val="40"/>
          <w:szCs w:val="40"/>
        </w:rPr>
      </w:pPr>
    </w:p>
    <w:p w14:paraId="36A98B2D" w14:textId="77777777" w:rsidR="00044825" w:rsidRDefault="00044825" w:rsidP="00044825">
      <w:pPr>
        <w:pStyle w:val="EndnoteText"/>
        <w:rPr>
          <w:rFonts w:cstheme="minorHAnsi"/>
          <w:b/>
          <w:bCs/>
          <w:sz w:val="40"/>
          <w:szCs w:val="40"/>
        </w:rPr>
      </w:pPr>
    </w:p>
    <w:p w14:paraId="2479C9E1" w14:textId="77777777" w:rsidR="00044825" w:rsidRDefault="00044825" w:rsidP="00044825">
      <w:pPr>
        <w:pStyle w:val="EndnoteText"/>
        <w:rPr>
          <w:rFonts w:cstheme="minorHAnsi"/>
          <w:b/>
          <w:bCs/>
          <w:sz w:val="40"/>
          <w:szCs w:val="40"/>
        </w:rPr>
      </w:pPr>
    </w:p>
    <w:p w14:paraId="673BAD15" w14:textId="77777777" w:rsidR="00044825" w:rsidRDefault="00044825" w:rsidP="00044825">
      <w:pPr>
        <w:pStyle w:val="EndnoteText"/>
        <w:rPr>
          <w:rFonts w:cstheme="minorHAnsi"/>
          <w:b/>
          <w:bCs/>
          <w:sz w:val="40"/>
          <w:szCs w:val="40"/>
        </w:rPr>
      </w:pPr>
    </w:p>
    <w:p w14:paraId="050AC3D5" w14:textId="77777777" w:rsidR="00044825" w:rsidRDefault="00044825" w:rsidP="00044825">
      <w:pPr>
        <w:pStyle w:val="EndnoteText"/>
        <w:rPr>
          <w:rFonts w:cstheme="minorHAnsi"/>
          <w:b/>
          <w:bCs/>
          <w:sz w:val="40"/>
          <w:szCs w:val="40"/>
        </w:rPr>
      </w:pPr>
    </w:p>
    <w:p w14:paraId="7C24BC8A" w14:textId="77777777" w:rsidR="00044825" w:rsidRDefault="00044825" w:rsidP="00044825">
      <w:pPr>
        <w:pStyle w:val="EndnoteText"/>
        <w:rPr>
          <w:rFonts w:cstheme="minorHAnsi"/>
          <w:b/>
          <w:bCs/>
          <w:sz w:val="40"/>
          <w:szCs w:val="40"/>
        </w:rPr>
      </w:pPr>
    </w:p>
    <w:p w14:paraId="52DBBAD5" w14:textId="77777777" w:rsidR="00044825" w:rsidRDefault="00044825" w:rsidP="00044825">
      <w:pPr>
        <w:pStyle w:val="EndnoteText"/>
        <w:rPr>
          <w:rFonts w:cstheme="minorHAnsi"/>
          <w:b/>
          <w:bCs/>
          <w:sz w:val="40"/>
          <w:szCs w:val="40"/>
        </w:rPr>
      </w:pPr>
    </w:p>
    <w:p w14:paraId="2CD82C3B" w14:textId="77777777" w:rsidR="00044825" w:rsidRDefault="00044825" w:rsidP="00044825">
      <w:pPr>
        <w:pStyle w:val="EndnoteText"/>
        <w:rPr>
          <w:rFonts w:cstheme="minorHAnsi"/>
          <w:b/>
          <w:bCs/>
          <w:sz w:val="40"/>
          <w:szCs w:val="40"/>
        </w:rPr>
      </w:pPr>
    </w:p>
    <w:p w14:paraId="4C894732" w14:textId="77777777" w:rsidR="00044825" w:rsidRDefault="00044825" w:rsidP="00044825">
      <w:pPr>
        <w:pStyle w:val="EndnoteText"/>
        <w:rPr>
          <w:rFonts w:cstheme="minorHAnsi"/>
          <w:b/>
          <w:bCs/>
          <w:sz w:val="40"/>
          <w:szCs w:val="40"/>
        </w:rPr>
      </w:pPr>
    </w:p>
    <w:p w14:paraId="7509BDC4" w14:textId="19D9EC89" w:rsidR="00044825" w:rsidRPr="0031746F" w:rsidRDefault="00044825" w:rsidP="00044825">
      <w:pPr>
        <w:pStyle w:val="EndnoteText"/>
        <w:rPr>
          <w:rFonts w:cstheme="minorHAnsi"/>
          <w:b/>
          <w:bCs/>
          <w:sz w:val="40"/>
          <w:szCs w:val="40"/>
        </w:rPr>
      </w:pPr>
      <w:r w:rsidRPr="0031746F">
        <w:rPr>
          <w:rFonts w:cstheme="minorHAnsi"/>
          <w:b/>
          <w:bCs/>
          <w:sz w:val="40"/>
          <w:szCs w:val="40"/>
        </w:rPr>
        <w:t>Contacts</w:t>
      </w:r>
    </w:p>
    <w:p w14:paraId="11C207BC" w14:textId="77777777" w:rsidR="00044825" w:rsidRPr="0031746F" w:rsidRDefault="00044825" w:rsidP="00044825">
      <w:pPr>
        <w:pStyle w:val="EndnoteText"/>
        <w:rPr>
          <w:rFonts w:cstheme="minorHAnsi"/>
          <w:sz w:val="16"/>
          <w:szCs w:val="16"/>
        </w:rPr>
      </w:pPr>
    </w:p>
    <w:p w14:paraId="5BAF70C4" w14:textId="77777777" w:rsidR="00044825" w:rsidRPr="0031746F" w:rsidRDefault="00044825" w:rsidP="00044825">
      <w:pPr>
        <w:pStyle w:val="EndnoteText"/>
        <w:rPr>
          <w:rFonts w:cstheme="minorHAnsi"/>
          <w:b/>
          <w:bCs/>
          <w:sz w:val="22"/>
          <w:szCs w:val="22"/>
        </w:rPr>
      </w:pPr>
      <w:r w:rsidRPr="0031746F">
        <w:rPr>
          <w:rFonts w:cstheme="minorHAnsi"/>
          <w:b/>
          <w:bCs/>
          <w:sz w:val="22"/>
          <w:szCs w:val="22"/>
        </w:rPr>
        <w:t>Dean Kingsley</w:t>
      </w:r>
    </w:p>
    <w:p w14:paraId="7485F541" w14:textId="77777777" w:rsidR="00044825" w:rsidRPr="0031746F" w:rsidRDefault="00044825" w:rsidP="00044825">
      <w:pPr>
        <w:pStyle w:val="EndnoteText"/>
        <w:rPr>
          <w:rFonts w:cstheme="minorHAnsi"/>
          <w:sz w:val="22"/>
          <w:szCs w:val="22"/>
        </w:rPr>
      </w:pPr>
      <w:r w:rsidRPr="0031746F">
        <w:rPr>
          <w:rFonts w:cstheme="minorHAnsi"/>
          <w:sz w:val="22"/>
          <w:szCs w:val="22"/>
        </w:rPr>
        <w:t>Principal, Enterprise Risk Management</w:t>
      </w:r>
    </w:p>
    <w:p w14:paraId="521EA796" w14:textId="77777777" w:rsidR="00044825" w:rsidRPr="0031746F" w:rsidRDefault="00044825" w:rsidP="00044825">
      <w:pPr>
        <w:pStyle w:val="EndnoteText"/>
        <w:rPr>
          <w:rFonts w:cstheme="minorHAnsi"/>
          <w:sz w:val="22"/>
          <w:szCs w:val="22"/>
        </w:rPr>
      </w:pPr>
      <w:r w:rsidRPr="0031746F">
        <w:rPr>
          <w:rFonts w:cstheme="minorHAnsi"/>
          <w:sz w:val="22"/>
          <w:szCs w:val="22"/>
        </w:rPr>
        <w:t>Deloitte &amp; Touche LLP</w:t>
      </w:r>
    </w:p>
    <w:p w14:paraId="7D1011C3" w14:textId="77777777" w:rsidR="00044825" w:rsidRPr="0031746F" w:rsidRDefault="00044825" w:rsidP="00044825">
      <w:pPr>
        <w:pStyle w:val="EndnoteText"/>
        <w:rPr>
          <w:rFonts w:cstheme="minorHAnsi"/>
          <w:color w:val="0F4761" w:themeColor="accent1" w:themeShade="BF"/>
          <w:sz w:val="22"/>
          <w:szCs w:val="22"/>
        </w:rPr>
      </w:pPr>
      <w:hyperlink r:id="rId4" w:history="1">
        <w:r w:rsidRPr="0031746F">
          <w:rPr>
            <w:rStyle w:val="Hyperlink"/>
            <w:rFonts w:cstheme="minorHAnsi"/>
            <w:sz w:val="22"/>
            <w:szCs w:val="22"/>
          </w:rPr>
          <w:t>dkingsley@deloitte.com</w:t>
        </w:r>
      </w:hyperlink>
    </w:p>
    <w:p w14:paraId="6C8651BC" w14:textId="77777777" w:rsidR="00044825" w:rsidRPr="0031746F" w:rsidRDefault="00044825" w:rsidP="00044825">
      <w:pPr>
        <w:pStyle w:val="EndnoteText"/>
        <w:rPr>
          <w:rFonts w:cstheme="minorHAnsi"/>
          <w:sz w:val="22"/>
          <w:szCs w:val="22"/>
        </w:rPr>
      </w:pPr>
    </w:p>
    <w:p w14:paraId="77FA88B6" w14:textId="77777777" w:rsidR="00044825" w:rsidRPr="0031746F" w:rsidRDefault="00044825" w:rsidP="00044825">
      <w:pPr>
        <w:pStyle w:val="EndnoteText"/>
        <w:rPr>
          <w:rFonts w:cstheme="minorHAnsi"/>
          <w:b/>
          <w:bCs/>
          <w:sz w:val="22"/>
          <w:szCs w:val="22"/>
        </w:rPr>
      </w:pPr>
      <w:r w:rsidRPr="0031746F">
        <w:rPr>
          <w:rFonts w:cstheme="minorHAnsi"/>
          <w:b/>
          <w:bCs/>
          <w:sz w:val="22"/>
          <w:szCs w:val="22"/>
        </w:rPr>
        <w:t>Matt Solomon</w:t>
      </w:r>
    </w:p>
    <w:p w14:paraId="615BB237" w14:textId="77777777" w:rsidR="00044825" w:rsidRPr="0031746F" w:rsidRDefault="00044825" w:rsidP="00044825">
      <w:pPr>
        <w:pStyle w:val="EndnoteText"/>
        <w:rPr>
          <w:rFonts w:cstheme="minorHAnsi"/>
          <w:sz w:val="22"/>
          <w:szCs w:val="22"/>
        </w:rPr>
      </w:pPr>
      <w:r w:rsidRPr="0031746F">
        <w:rPr>
          <w:rFonts w:cstheme="minorHAnsi"/>
          <w:sz w:val="22"/>
          <w:szCs w:val="22"/>
        </w:rPr>
        <w:t>Senior Manager, Enterprise Risk Management</w:t>
      </w:r>
    </w:p>
    <w:p w14:paraId="15D0CAD0" w14:textId="77777777" w:rsidR="00044825" w:rsidRPr="0031746F" w:rsidRDefault="00044825" w:rsidP="00044825">
      <w:pPr>
        <w:pStyle w:val="EndnoteText"/>
        <w:rPr>
          <w:rFonts w:cstheme="minorHAnsi"/>
          <w:sz w:val="22"/>
          <w:szCs w:val="22"/>
        </w:rPr>
      </w:pPr>
      <w:r w:rsidRPr="0031746F">
        <w:rPr>
          <w:rFonts w:cstheme="minorHAnsi"/>
          <w:sz w:val="22"/>
          <w:szCs w:val="22"/>
        </w:rPr>
        <w:t>Deloitte &amp; Touche LLP</w:t>
      </w:r>
    </w:p>
    <w:p w14:paraId="06015772" w14:textId="77777777" w:rsidR="00044825" w:rsidRPr="0031746F" w:rsidRDefault="00044825" w:rsidP="00044825">
      <w:pPr>
        <w:pStyle w:val="EndnoteText"/>
        <w:rPr>
          <w:rFonts w:cstheme="minorHAnsi"/>
          <w:color w:val="0F4761" w:themeColor="accent1" w:themeShade="BF"/>
          <w:sz w:val="22"/>
          <w:szCs w:val="22"/>
        </w:rPr>
      </w:pPr>
      <w:hyperlink r:id="rId5" w:history="1">
        <w:r w:rsidRPr="0031746F">
          <w:rPr>
            <w:rStyle w:val="Hyperlink"/>
            <w:rFonts w:cstheme="minorHAnsi"/>
            <w:sz w:val="22"/>
            <w:szCs w:val="22"/>
          </w:rPr>
          <w:t>matsolomon@deloitte.com</w:t>
        </w:r>
      </w:hyperlink>
    </w:p>
    <w:p w14:paraId="7C8467A2" w14:textId="77777777" w:rsidR="00044825" w:rsidRPr="0031746F" w:rsidRDefault="00044825" w:rsidP="00044825">
      <w:pPr>
        <w:pStyle w:val="EndnoteText"/>
        <w:rPr>
          <w:rFonts w:cstheme="minorHAnsi"/>
          <w:sz w:val="22"/>
          <w:szCs w:val="22"/>
        </w:rPr>
      </w:pPr>
    </w:p>
    <w:p w14:paraId="7E88AD08" w14:textId="77777777" w:rsidR="00044825" w:rsidRPr="0031746F" w:rsidRDefault="00044825" w:rsidP="00044825">
      <w:pPr>
        <w:pStyle w:val="EndnoteText"/>
        <w:rPr>
          <w:rFonts w:cstheme="minorHAnsi"/>
          <w:b/>
          <w:bCs/>
          <w:sz w:val="22"/>
          <w:szCs w:val="22"/>
        </w:rPr>
      </w:pPr>
      <w:r w:rsidRPr="0031746F">
        <w:rPr>
          <w:rFonts w:cstheme="minorHAnsi"/>
          <w:b/>
          <w:bCs/>
          <w:sz w:val="22"/>
          <w:szCs w:val="22"/>
        </w:rPr>
        <w:t>Kristen Jaconi</w:t>
      </w:r>
    </w:p>
    <w:p w14:paraId="5C62FD6C" w14:textId="57AAB937" w:rsidR="00044825" w:rsidRPr="0031746F" w:rsidRDefault="00044825" w:rsidP="00044825">
      <w:pPr>
        <w:pStyle w:val="EndnoteText"/>
        <w:rPr>
          <w:rFonts w:cstheme="minorHAnsi"/>
          <w:sz w:val="22"/>
          <w:szCs w:val="22"/>
        </w:rPr>
      </w:pPr>
      <w:r w:rsidRPr="0031746F">
        <w:rPr>
          <w:rFonts w:cstheme="minorHAnsi"/>
          <w:sz w:val="22"/>
          <w:szCs w:val="22"/>
        </w:rPr>
        <w:t>Professor of the Practice in Accounting</w:t>
      </w:r>
    </w:p>
    <w:p w14:paraId="5CA0F944" w14:textId="77777777" w:rsidR="00044825" w:rsidRPr="0031746F" w:rsidRDefault="00044825" w:rsidP="00044825">
      <w:pPr>
        <w:pStyle w:val="EndnoteText"/>
        <w:rPr>
          <w:rFonts w:cstheme="minorHAnsi"/>
          <w:sz w:val="22"/>
          <w:szCs w:val="22"/>
        </w:rPr>
      </w:pPr>
      <w:r w:rsidRPr="0031746F">
        <w:rPr>
          <w:rFonts w:cstheme="minorHAnsi"/>
          <w:sz w:val="22"/>
          <w:szCs w:val="22"/>
        </w:rPr>
        <w:t>Executive Director</w:t>
      </w:r>
    </w:p>
    <w:p w14:paraId="26878829" w14:textId="77777777" w:rsidR="00044825" w:rsidRPr="0031746F" w:rsidRDefault="00044825" w:rsidP="00044825">
      <w:pPr>
        <w:pStyle w:val="EndnoteText"/>
        <w:rPr>
          <w:rFonts w:cstheme="minorHAnsi"/>
          <w:sz w:val="22"/>
          <w:szCs w:val="22"/>
        </w:rPr>
      </w:pPr>
      <w:r w:rsidRPr="0031746F">
        <w:rPr>
          <w:rFonts w:cstheme="minorHAnsi"/>
          <w:sz w:val="22"/>
          <w:szCs w:val="22"/>
        </w:rPr>
        <w:t>Peter Arkley Institute for Risk Management</w:t>
      </w:r>
    </w:p>
    <w:p w14:paraId="387F5A4C" w14:textId="77777777" w:rsidR="00044825" w:rsidRPr="0031746F" w:rsidRDefault="00044825" w:rsidP="00044825">
      <w:pPr>
        <w:pStyle w:val="EndnoteText"/>
        <w:rPr>
          <w:rFonts w:cstheme="minorHAnsi"/>
          <w:sz w:val="22"/>
          <w:szCs w:val="22"/>
        </w:rPr>
      </w:pPr>
      <w:r w:rsidRPr="0031746F">
        <w:rPr>
          <w:rFonts w:cstheme="minorHAnsi"/>
          <w:sz w:val="22"/>
          <w:szCs w:val="22"/>
        </w:rPr>
        <w:t>Marshall School of Business</w:t>
      </w:r>
    </w:p>
    <w:p w14:paraId="08B7E171" w14:textId="77777777" w:rsidR="00044825" w:rsidRPr="0031746F" w:rsidRDefault="00044825" w:rsidP="00044825">
      <w:pPr>
        <w:pStyle w:val="EndnoteText"/>
        <w:rPr>
          <w:rFonts w:cstheme="minorHAnsi"/>
          <w:sz w:val="22"/>
          <w:szCs w:val="22"/>
        </w:rPr>
      </w:pPr>
      <w:r w:rsidRPr="0031746F">
        <w:rPr>
          <w:rFonts w:cstheme="minorHAnsi"/>
          <w:sz w:val="22"/>
          <w:szCs w:val="22"/>
        </w:rPr>
        <w:t>University of Southern California</w:t>
      </w:r>
    </w:p>
    <w:p w14:paraId="115058A3" w14:textId="77777777" w:rsidR="00044825" w:rsidRPr="0031746F" w:rsidRDefault="00044825" w:rsidP="00044825">
      <w:pPr>
        <w:pStyle w:val="EndnoteText"/>
        <w:rPr>
          <w:rFonts w:cstheme="minorHAnsi"/>
          <w:color w:val="0F4761" w:themeColor="accent1" w:themeShade="BF"/>
          <w:sz w:val="22"/>
          <w:szCs w:val="22"/>
        </w:rPr>
      </w:pPr>
      <w:hyperlink r:id="rId6" w:history="1">
        <w:r w:rsidRPr="0031746F">
          <w:rPr>
            <w:rStyle w:val="Hyperlink"/>
            <w:rFonts w:cstheme="minorHAnsi"/>
            <w:sz w:val="22"/>
            <w:szCs w:val="22"/>
          </w:rPr>
          <w:t>kjaconi@marshall.usc.edu</w:t>
        </w:r>
      </w:hyperlink>
      <w:r w:rsidRPr="0031746F">
        <w:rPr>
          <w:rFonts w:cstheme="minorHAnsi"/>
          <w:color w:val="0F4761" w:themeColor="accent1" w:themeShade="BF"/>
          <w:sz w:val="22"/>
          <w:szCs w:val="22"/>
        </w:rPr>
        <w:t xml:space="preserve"> </w:t>
      </w:r>
    </w:p>
    <w:p w14:paraId="52651B9D" w14:textId="77777777" w:rsidR="00044825" w:rsidRPr="0031746F" w:rsidRDefault="00044825" w:rsidP="00044825">
      <w:pPr>
        <w:pStyle w:val="EndnoteText"/>
        <w:rPr>
          <w:rFonts w:cstheme="minorHAnsi"/>
          <w:sz w:val="22"/>
          <w:szCs w:val="22"/>
        </w:rPr>
      </w:pPr>
    </w:p>
    <w:p w14:paraId="0BE12AEF" w14:textId="77777777" w:rsidR="00044825" w:rsidRPr="0031746F" w:rsidRDefault="00044825" w:rsidP="00044825">
      <w:pPr>
        <w:pStyle w:val="EndnoteText"/>
        <w:rPr>
          <w:rFonts w:cstheme="minorHAnsi"/>
          <w:sz w:val="22"/>
          <w:szCs w:val="22"/>
        </w:rPr>
      </w:pPr>
    </w:p>
    <w:p w14:paraId="5838BE95" w14:textId="77777777" w:rsidR="00044825" w:rsidRPr="0031746F" w:rsidRDefault="00044825" w:rsidP="00044825">
      <w:pPr>
        <w:rPr>
          <w:rFonts w:cstheme="minorHAnsi"/>
        </w:rPr>
      </w:pPr>
      <w:r w:rsidRPr="0031746F">
        <w:rPr>
          <w:rFonts w:cstheme="minorHAnsi"/>
        </w:rPr>
        <w:t>This publication contains general information only and the authors are not, by means of this publication, rendering accounting, business, financial, investment, legal, tax, or other professional advice or services. This publication is not a substitute for such professional advice or services, nor should it be used as a basis for any decision or action that may affect your business. Before making any decision or taking any action that may affect your business, you should consult a qualified professional advisor.</w:t>
      </w:r>
    </w:p>
    <w:p w14:paraId="13F436F8" w14:textId="77777777" w:rsidR="00044825" w:rsidRPr="0031746F" w:rsidRDefault="00044825" w:rsidP="00044825">
      <w:pPr>
        <w:rPr>
          <w:rFonts w:cstheme="minorHAnsi"/>
        </w:rPr>
      </w:pPr>
      <w:r w:rsidRPr="0031746F">
        <w:rPr>
          <w:rFonts w:cstheme="minorHAnsi"/>
        </w:rPr>
        <w:t xml:space="preserve">The authors shall not be responsible for any loss sustained by any person who relies on this publication. </w:t>
      </w:r>
    </w:p>
    <w:p w14:paraId="1AED7D98" w14:textId="7828FE25" w:rsidR="00044825" w:rsidRPr="0031746F" w:rsidRDefault="00044825" w:rsidP="00044825">
      <w:pPr>
        <w:pStyle w:val="EndnoteText"/>
        <w:rPr>
          <w:rFonts w:cstheme="minorHAnsi"/>
          <w:sz w:val="22"/>
          <w:szCs w:val="22"/>
        </w:rPr>
      </w:pPr>
      <w:r w:rsidRPr="0031746F">
        <w:rPr>
          <w:rFonts w:cstheme="minorHAnsi"/>
          <w:sz w:val="22"/>
          <w:szCs w:val="22"/>
        </w:rPr>
        <w:t>Copyright © 202</w:t>
      </w:r>
      <w:r>
        <w:rPr>
          <w:rFonts w:cstheme="minorHAnsi"/>
          <w:sz w:val="22"/>
          <w:szCs w:val="22"/>
        </w:rPr>
        <w:t>5</w:t>
      </w:r>
      <w:r w:rsidRPr="0031746F">
        <w:rPr>
          <w:rFonts w:cstheme="minorHAnsi"/>
          <w:sz w:val="22"/>
          <w:szCs w:val="22"/>
        </w:rPr>
        <w:t xml:space="preserve"> Deloitte Development LLC. All rights reserved.</w:t>
      </w:r>
    </w:p>
    <w:p w14:paraId="23F7FE39" w14:textId="77777777" w:rsidR="00044825" w:rsidRDefault="00044825" w:rsidP="00044825">
      <w:pPr>
        <w:pStyle w:val="EndnoteText"/>
        <w:rPr>
          <w:sz w:val="16"/>
          <w:szCs w:val="16"/>
        </w:rPr>
      </w:pPr>
    </w:p>
    <w:p w14:paraId="7BE0878D" w14:textId="77777777" w:rsidR="00044825" w:rsidRDefault="00044825" w:rsidP="00044825">
      <w:pPr>
        <w:pStyle w:val="EndnoteText"/>
        <w:rPr>
          <w:sz w:val="16"/>
          <w:szCs w:val="16"/>
        </w:rPr>
      </w:pPr>
    </w:p>
    <w:p w14:paraId="6FBD2AEC" w14:textId="77777777" w:rsidR="00044825" w:rsidRPr="006A4667" w:rsidRDefault="00044825" w:rsidP="00044825">
      <w:pPr>
        <w:pStyle w:val="EndnoteText"/>
        <w:rPr>
          <w:sz w:val="16"/>
          <w:szCs w:val="16"/>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Aptos Display">
    <w:panose1 w:val="020B06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B92476" w14:textId="4BB95D09" w:rsidR="00046EF6" w:rsidRPr="00891D8F" w:rsidRDefault="00046EF6" w:rsidP="00046EF6">
    <w:pPr>
      <w:pStyle w:val="Footer"/>
      <w:jc w:val="right"/>
    </w:pPr>
    <w:r>
      <w:ptab w:relativeTo="margin" w:alignment="center" w:leader="none"/>
    </w:r>
    <w:r>
      <w:ptab w:relativeTo="margin" w:alignment="right" w:leader="none"/>
    </w:r>
    <w:r w:rsidRPr="00046EF6">
      <w:t xml:space="preserve"> </w:t>
    </w:r>
    <w:sdt>
      <w:sdtPr>
        <w:id w:val="-885876901"/>
        <w:docPartObj>
          <w:docPartGallery w:val="Page Numbers (Bottom of Page)"/>
          <w:docPartUnique/>
        </w:docPartObj>
      </w:sdtPr>
      <w:sdtEndPr>
        <w:rPr>
          <w:noProof/>
        </w:rPr>
      </w:sdtEndPr>
      <w:sdtContent>
        <w:r w:rsidRPr="00891D8F">
          <w:t xml:space="preserve">PAGE | </w:t>
        </w:r>
        <w:r w:rsidRPr="00891D8F">
          <w:fldChar w:fldCharType="begin"/>
        </w:r>
        <w:r w:rsidRPr="00891D8F">
          <w:instrText xml:space="preserve"> PAGE   \* MERGEFORMAT </w:instrText>
        </w:r>
        <w:r w:rsidRPr="00891D8F">
          <w:fldChar w:fldCharType="separate"/>
        </w:r>
        <w:r>
          <w:t>4</w:t>
        </w:r>
        <w:r w:rsidRPr="00891D8F">
          <w:rPr>
            <w:noProof/>
          </w:rPr>
          <w:fldChar w:fldCharType="end"/>
        </w:r>
      </w:sdtContent>
    </w:sdt>
  </w:p>
  <w:p w14:paraId="53ED1276" w14:textId="1CB8960A" w:rsidR="00046EF6" w:rsidRDefault="00046EF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6000B9" w14:textId="77777777" w:rsidR="00A30C15" w:rsidRDefault="00A30C15" w:rsidP="005161F2">
      <w:pPr>
        <w:spacing w:after="0" w:line="240" w:lineRule="auto"/>
      </w:pPr>
      <w:r>
        <w:separator/>
      </w:r>
    </w:p>
  </w:footnote>
  <w:footnote w:type="continuationSeparator" w:id="0">
    <w:p w14:paraId="0D8E4119" w14:textId="77777777" w:rsidR="00A30C15" w:rsidRDefault="00A30C15" w:rsidP="005161F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6812C7"/>
    <w:multiLevelType w:val="hybridMultilevel"/>
    <w:tmpl w:val="C9A2F0E0"/>
    <w:lvl w:ilvl="0" w:tplc="04090001">
      <w:start w:val="1"/>
      <w:numFmt w:val="bullet"/>
      <w:lvlText w:val=""/>
      <w:lvlJc w:val="left"/>
      <w:pPr>
        <w:ind w:left="720" w:hanging="360"/>
      </w:pPr>
      <w:rPr>
        <w:rFonts w:ascii="Symbol" w:hAnsi="Symbol" w:hint="default"/>
      </w:rPr>
    </w:lvl>
    <w:lvl w:ilvl="1" w:tplc="0409000B">
      <w:start w:val="1"/>
      <w:numFmt w:val="bullet"/>
      <w:lvlText w:val=""/>
      <w:lvlJc w:val="left"/>
      <w:pPr>
        <w:ind w:left="1080" w:hanging="360"/>
      </w:pPr>
      <w:rPr>
        <w:rFonts w:ascii="Wingdings" w:hAnsi="Wingdings"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3FC35931"/>
    <w:multiLevelType w:val="hybridMultilevel"/>
    <w:tmpl w:val="D14E3C0C"/>
    <w:lvl w:ilvl="0" w:tplc="9030261E">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9E35CDA"/>
    <w:multiLevelType w:val="hybridMultilevel"/>
    <w:tmpl w:val="CAFCAD30"/>
    <w:lvl w:ilvl="0" w:tplc="8932E3EA">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B146E6B"/>
    <w:multiLevelType w:val="hybridMultilevel"/>
    <w:tmpl w:val="BFD8546A"/>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7E932445"/>
    <w:multiLevelType w:val="hybridMultilevel"/>
    <w:tmpl w:val="B7B404DE"/>
    <w:lvl w:ilvl="0" w:tplc="FDB6F22C">
      <w:start w:val="1"/>
      <w:numFmt w:val="bullet"/>
      <w:lvlText w:val=""/>
      <w:lvlJc w:val="left"/>
      <w:pPr>
        <w:ind w:left="1080" w:hanging="360"/>
      </w:pPr>
      <w:rPr>
        <w:rFonts w:ascii="Wingdings" w:hAnsi="Wingdings" w:hint="default"/>
        <w:sz w:val="20"/>
        <w:szCs w:val="2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205677126">
    <w:abstractNumId w:val="0"/>
  </w:num>
  <w:num w:numId="2" w16cid:durableId="193083925">
    <w:abstractNumId w:val="3"/>
  </w:num>
  <w:num w:numId="3" w16cid:durableId="1876694860">
    <w:abstractNumId w:val="4"/>
  </w:num>
  <w:num w:numId="4" w16cid:durableId="299771724">
    <w:abstractNumId w:val="1"/>
  </w:num>
  <w:num w:numId="5" w16cid:durableId="120436925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writeProtection w:recommended="1"/>
  <w:zoom w:percent="140"/>
  <w:proofState w:spelling="clean" w:grammar="clean"/>
  <w:documentProtection w:edit="readOnly" w:enforcement="1"/>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61F2"/>
    <w:rsid w:val="00001724"/>
    <w:rsid w:val="0001236D"/>
    <w:rsid w:val="0002002A"/>
    <w:rsid w:val="00032634"/>
    <w:rsid w:val="00044825"/>
    <w:rsid w:val="00046EF6"/>
    <w:rsid w:val="00054066"/>
    <w:rsid w:val="00077B92"/>
    <w:rsid w:val="00081BE0"/>
    <w:rsid w:val="00092216"/>
    <w:rsid w:val="000A1A45"/>
    <w:rsid w:val="000A3918"/>
    <w:rsid w:val="000E7B95"/>
    <w:rsid w:val="001052E7"/>
    <w:rsid w:val="00117CA7"/>
    <w:rsid w:val="00120B4C"/>
    <w:rsid w:val="0013171B"/>
    <w:rsid w:val="001A63C7"/>
    <w:rsid w:val="001B3539"/>
    <w:rsid w:val="001B677C"/>
    <w:rsid w:val="001D244F"/>
    <w:rsid w:val="001E4345"/>
    <w:rsid w:val="001F578F"/>
    <w:rsid w:val="00206191"/>
    <w:rsid w:val="00211DA1"/>
    <w:rsid w:val="00212E7E"/>
    <w:rsid w:val="0024088E"/>
    <w:rsid w:val="00254C90"/>
    <w:rsid w:val="002671F1"/>
    <w:rsid w:val="00277204"/>
    <w:rsid w:val="00287CCB"/>
    <w:rsid w:val="002A2FA6"/>
    <w:rsid w:val="002A3D4B"/>
    <w:rsid w:val="002D3F2C"/>
    <w:rsid w:val="003219D5"/>
    <w:rsid w:val="003611D2"/>
    <w:rsid w:val="00366232"/>
    <w:rsid w:val="00373703"/>
    <w:rsid w:val="00391A8B"/>
    <w:rsid w:val="00393786"/>
    <w:rsid w:val="003D5A58"/>
    <w:rsid w:val="003E09F6"/>
    <w:rsid w:val="003E5061"/>
    <w:rsid w:val="003F4D06"/>
    <w:rsid w:val="004011CD"/>
    <w:rsid w:val="00425EA9"/>
    <w:rsid w:val="0045531C"/>
    <w:rsid w:val="00455C8B"/>
    <w:rsid w:val="00481242"/>
    <w:rsid w:val="004B037B"/>
    <w:rsid w:val="004B6987"/>
    <w:rsid w:val="004E4DD9"/>
    <w:rsid w:val="00514A2C"/>
    <w:rsid w:val="005161F2"/>
    <w:rsid w:val="00517056"/>
    <w:rsid w:val="005201B2"/>
    <w:rsid w:val="00542401"/>
    <w:rsid w:val="00555E70"/>
    <w:rsid w:val="00561663"/>
    <w:rsid w:val="00573F03"/>
    <w:rsid w:val="005824F7"/>
    <w:rsid w:val="0058379A"/>
    <w:rsid w:val="00584532"/>
    <w:rsid w:val="005927E0"/>
    <w:rsid w:val="005976EF"/>
    <w:rsid w:val="005B1DB0"/>
    <w:rsid w:val="005E3712"/>
    <w:rsid w:val="005F63BB"/>
    <w:rsid w:val="00610512"/>
    <w:rsid w:val="006238D3"/>
    <w:rsid w:val="006319DF"/>
    <w:rsid w:val="00643D48"/>
    <w:rsid w:val="0065272B"/>
    <w:rsid w:val="006807CE"/>
    <w:rsid w:val="006A6603"/>
    <w:rsid w:val="006E267F"/>
    <w:rsid w:val="006F0D56"/>
    <w:rsid w:val="007219C2"/>
    <w:rsid w:val="007336F3"/>
    <w:rsid w:val="007629F5"/>
    <w:rsid w:val="00786E8B"/>
    <w:rsid w:val="007949CC"/>
    <w:rsid w:val="007B222F"/>
    <w:rsid w:val="007B26A4"/>
    <w:rsid w:val="007E1185"/>
    <w:rsid w:val="007E13C5"/>
    <w:rsid w:val="008026DF"/>
    <w:rsid w:val="00810FE9"/>
    <w:rsid w:val="00832759"/>
    <w:rsid w:val="0084252B"/>
    <w:rsid w:val="00855D6D"/>
    <w:rsid w:val="00864403"/>
    <w:rsid w:val="008A0CEA"/>
    <w:rsid w:val="008C0501"/>
    <w:rsid w:val="008E0FAF"/>
    <w:rsid w:val="008F54C0"/>
    <w:rsid w:val="008F6EE4"/>
    <w:rsid w:val="00917627"/>
    <w:rsid w:val="00922060"/>
    <w:rsid w:val="0093269C"/>
    <w:rsid w:val="00936985"/>
    <w:rsid w:val="0095578C"/>
    <w:rsid w:val="00985008"/>
    <w:rsid w:val="00985B5F"/>
    <w:rsid w:val="00995C8A"/>
    <w:rsid w:val="009B05FC"/>
    <w:rsid w:val="009C3537"/>
    <w:rsid w:val="009D2A8A"/>
    <w:rsid w:val="009F3B93"/>
    <w:rsid w:val="009F69AB"/>
    <w:rsid w:val="00A04F2E"/>
    <w:rsid w:val="00A0575C"/>
    <w:rsid w:val="00A16BD0"/>
    <w:rsid w:val="00A24FB4"/>
    <w:rsid w:val="00A30C15"/>
    <w:rsid w:val="00A546D2"/>
    <w:rsid w:val="00A57B8C"/>
    <w:rsid w:val="00A60AC8"/>
    <w:rsid w:val="00A90302"/>
    <w:rsid w:val="00B06941"/>
    <w:rsid w:val="00B210E2"/>
    <w:rsid w:val="00B26786"/>
    <w:rsid w:val="00B3082B"/>
    <w:rsid w:val="00B40E74"/>
    <w:rsid w:val="00B4421A"/>
    <w:rsid w:val="00BE602A"/>
    <w:rsid w:val="00C4373A"/>
    <w:rsid w:val="00C474E7"/>
    <w:rsid w:val="00C813DF"/>
    <w:rsid w:val="00C83E00"/>
    <w:rsid w:val="00C86F7D"/>
    <w:rsid w:val="00C9184A"/>
    <w:rsid w:val="00C95455"/>
    <w:rsid w:val="00C97809"/>
    <w:rsid w:val="00CA2D4C"/>
    <w:rsid w:val="00CF56F9"/>
    <w:rsid w:val="00D009E6"/>
    <w:rsid w:val="00D12941"/>
    <w:rsid w:val="00D12DE4"/>
    <w:rsid w:val="00D30EEB"/>
    <w:rsid w:val="00D36FED"/>
    <w:rsid w:val="00D41A2D"/>
    <w:rsid w:val="00D52FCE"/>
    <w:rsid w:val="00D63983"/>
    <w:rsid w:val="00D6657A"/>
    <w:rsid w:val="00D92AD1"/>
    <w:rsid w:val="00D94ED7"/>
    <w:rsid w:val="00D9570A"/>
    <w:rsid w:val="00DB220B"/>
    <w:rsid w:val="00DF58C2"/>
    <w:rsid w:val="00DF637D"/>
    <w:rsid w:val="00DF7343"/>
    <w:rsid w:val="00E16D47"/>
    <w:rsid w:val="00E236E0"/>
    <w:rsid w:val="00E26168"/>
    <w:rsid w:val="00E615FE"/>
    <w:rsid w:val="00E63BA7"/>
    <w:rsid w:val="00E67C05"/>
    <w:rsid w:val="00E706BA"/>
    <w:rsid w:val="00E961DE"/>
    <w:rsid w:val="00EC795C"/>
    <w:rsid w:val="00ED59A1"/>
    <w:rsid w:val="00ED7C21"/>
    <w:rsid w:val="00EE3098"/>
    <w:rsid w:val="00F4320B"/>
    <w:rsid w:val="00F4571E"/>
    <w:rsid w:val="00F574CE"/>
    <w:rsid w:val="00F606F9"/>
    <w:rsid w:val="00FA2020"/>
    <w:rsid w:val="00FA6960"/>
    <w:rsid w:val="00FF2BA1"/>
    <w:rsid w:val="00FF67C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844866"/>
  <w15:chartTrackingRefBased/>
  <w15:docId w15:val="{326293C2-940D-4C60-B5DC-F8806F7A5C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61F2"/>
    <w:rPr>
      <w:rFonts w:asciiTheme="minorHAnsi" w:hAnsiTheme="minorHAnsi"/>
    </w:rPr>
  </w:style>
  <w:style w:type="paragraph" w:styleId="Heading1">
    <w:name w:val="heading 1"/>
    <w:basedOn w:val="Normal"/>
    <w:next w:val="Normal"/>
    <w:link w:val="Heading1Char"/>
    <w:uiPriority w:val="9"/>
    <w:qFormat/>
    <w:rsid w:val="005161F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161F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161F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161F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161F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161F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161F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161F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161F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61F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161F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161F2"/>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161F2"/>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5161F2"/>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5161F2"/>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5161F2"/>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5161F2"/>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5161F2"/>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5161F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161F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161F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161F2"/>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5161F2"/>
    <w:pPr>
      <w:spacing w:before="160"/>
      <w:jc w:val="center"/>
    </w:pPr>
    <w:rPr>
      <w:i/>
      <w:iCs/>
      <w:color w:val="404040" w:themeColor="text1" w:themeTint="BF"/>
    </w:rPr>
  </w:style>
  <w:style w:type="character" w:customStyle="1" w:styleId="QuoteChar">
    <w:name w:val="Quote Char"/>
    <w:basedOn w:val="DefaultParagraphFont"/>
    <w:link w:val="Quote"/>
    <w:uiPriority w:val="29"/>
    <w:rsid w:val="005161F2"/>
    <w:rPr>
      <w:i/>
      <w:iCs/>
      <w:color w:val="404040" w:themeColor="text1" w:themeTint="BF"/>
    </w:rPr>
  </w:style>
  <w:style w:type="paragraph" w:styleId="ListParagraph">
    <w:name w:val="List Paragraph"/>
    <w:basedOn w:val="Normal"/>
    <w:uiPriority w:val="34"/>
    <w:qFormat/>
    <w:rsid w:val="005161F2"/>
    <w:pPr>
      <w:ind w:left="720"/>
      <w:contextualSpacing/>
    </w:pPr>
  </w:style>
  <w:style w:type="character" w:styleId="IntenseEmphasis">
    <w:name w:val="Intense Emphasis"/>
    <w:basedOn w:val="DefaultParagraphFont"/>
    <w:uiPriority w:val="21"/>
    <w:qFormat/>
    <w:rsid w:val="005161F2"/>
    <w:rPr>
      <w:i/>
      <w:iCs/>
      <w:color w:val="0F4761" w:themeColor="accent1" w:themeShade="BF"/>
    </w:rPr>
  </w:style>
  <w:style w:type="paragraph" w:styleId="IntenseQuote">
    <w:name w:val="Intense Quote"/>
    <w:basedOn w:val="Normal"/>
    <w:next w:val="Normal"/>
    <w:link w:val="IntenseQuoteChar"/>
    <w:uiPriority w:val="30"/>
    <w:qFormat/>
    <w:rsid w:val="005161F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161F2"/>
    <w:rPr>
      <w:i/>
      <w:iCs/>
      <w:color w:val="0F4761" w:themeColor="accent1" w:themeShade="BF"/>
    </w:rPr>
  </w:style>
  <w:style w:type="character" w:styleId="IntenseReference">
    <w:name w:val="Intense Reference"/>
    <w:basedOn w:val="DefaultParagraphFont"/>
    <w:uiPriority w:val="32"/>
    <w:qFormat/>
    <w:rsid w:val="005161F2"/>
    <w:rPr>
      <w:b/>
      <w:bCs/>
      <w:smallCaps/>
      <w:color w:val="0F4761" w:themeColor="accent1" w:themeShade="BF"/>
      <w:spacing w:val="5"/>
    </w:rPr>
  </w:style>
  <w:style w:type="character" w:styleId="Hyperlink">
    <w:name w:val="Hyperlink"/>
    <w:basedOn w:val="DefaultParagraphFont"/>
    <w:uiPriority w:val="99"/>
    <w:unhideWhenUsed/>
    <w:rsid w:val="005161F2"/>
    <w:rPr>
      <w:color w:val="0000FF"/>
      <w:u w:val="single"/>
    </w:rPr>
  </w:style>
  <w:style w:type="paragraph" w:styleId="EndnoteText">
    <w:name w:val="endnote text"/>
    <w:basedOn w:val="Normal"/>
    <w:link w:val="EndnoteTextChar"/>
    <w:uiPriority w:val="99"/>
    <w:unhideWhenUsed/>
    <w:rsid w:val="005161F2"/>
    <w:pPr>
      <w:spacing w:after="0" w:line="240" w:lineRule="auto"/>
    </w:pPr>
    <w:rPr>
      <w:sz w:val="20"/>
      <w:szCs w:val="20"/>
    </w:rPr>
  </w:style>
  <w:style w:type="character" w:customStyle="1" w:styleId="EndnoteTextChar">
    <w:name w:val="Endnote Text Char"/>
    <w:basedOn w:val="DefaultParagraphFont"/>
    <w:link w:val="EndnoteText"/>
    <w:uiPriority w:val="99"/>
    <w:rsid w:val="005161F2"/>
    <w:rPr>
      <w:rFonts w:asciiTheme="minorHAnsi" w:hAnsiTheme="minorHAnsi"/>
      <w:sz w:val="20"/>
      <w:szCs w:val="20"/>
    </w:rPr>
  </w:style>
  <w:style w:type="character" w:styleId="EndnoteReference">
    <w:name w:val="endnote reference"/>
    <w:basedOn w:val="DefaultParagraphFont"/>
    <w:uiPriority w:val="99"/>
    <w:semiHidden/>
    <w:unhideWhenUsed/>
    <w:rsid w:val="005161F2"/>
    <w:rPr>
      <w:vertAlign w:val="superscript"/>
    </w:rPr>
  </w:style>
  <w:style w:type="paragraph" w:styleId="FootnoteText">
    <w:name w:val="footnote text"/>
    <w:basedOn w:val="Normal"/>
    <w:link w:val="FootnoteTextChar"/>
    <w:uiPriority w:val="99"/>
    <w:unhideWhenUsed/>
    <w:rsid w:val="005161F2"/>
    <w:pPr>
      <w:spacing w:after="0" w:line="240" w:lineRule="auto"/>
    </w:pPr>
    <w:rPr>
      <w:sz w:val="20"/>
      <w:szCs w:val="20"/>
    </w:rPr>
  </w:style>
  <w:style w:type="character" w:customStyle="1" w:styleId="FootnoteTextChar">
    <w:name w:val="Footnote Text Char"/>
    <w:basedOn w:val="DefaultParagraphFont"/>
    <w:link w:val="FootnoteText"/>
    <w:uiPriority w:val="99"/>
    <w:rsid w:val="005161F2"/>
    <w:rPr>
      <w:rFonts w:asciiTheme="minorHAnsi" w:hAnsiTheme="minorHAnsi"/>
      <w:sz w:val="20"/>
      <w:szCs w:val="20"/>
    </w:rPr>
  </w:style>
  <w:style w:type="paragraph" w:styleId="Revision">
    <w:name w:val="Revision"/>
    <w:hidden/>
    <w:uiPriority w:val="99"/>
    <w:semiHidden/>
    <w:rsid w:val="007336F3"/>
    <w:pPr>
      <w:spacing w:after="0" w:line="240" w:lineRule="auto"/>
    </w:pPr>
    <w:rPr>
      <w:rFonts w:asciiTheme="minorHAnsi" w:hAnsiTheme="minorHAnsi"/>
    </w:rPr>
  </w:style>
  <w:style w:type="character" w:styleId="UnresolvedMention">
    <w:name w:val="Unresolved Mention"/>
    <w:basedOn w:val="DefaultParagraphFont"/>
    <w:uiPriority w:val="99"/>
    <w:semiHidden/>
    <w:unhideWhenUsed/>
    <w:rsid w:val="00FA6960"/>
    <w:rPr>
      <w:color w:val="605E5C"/>
      <w:shd w:val="clear" w:color="auto" w:fill="E1DFDD"/>
    </w:rPr>
  </w:style>
  <w:style w:type="character" w:styleId="CommentReference">
    <w:name w:val="annotation reference"/>
    <w:basedOn w:val="DefaultParagraphFont"/>
    <w:uiPriority w:val="99"/>
    <w:semiHidden/>
    <w:unhideWhenUsed/>
    <w:rsid w:val="00FA6960"/>
    <w:rPr>
      <w:sz w:val="16"/>
      <w:szCs w:val="16"/>
    </w:rPr>
  </w:style>
  <w:style w:type="paragraph" w:styleId="CommentText">
    <w:name w:val="annotation text"/>
    <w:basedOn w:val="Normal"/>
    <w:link w:val="CommentTextChar"/>
    <w:uiPriority w:val="99"/>
    <w:unhideWhenUsed/>
    <w:rsid w:val="00FA6960"/>
    <w:pPr>
      <w:spacing w:line="240" w:lineRule="auto"/>
    </w:pPr>
    <w:rPr>
      <w:sz w:val="20"/>
      <w:szCs w:val="20"/>
    </w:rPr>
  </w:style>
  <w:style w:type="character" w:customStyle="1" w:styleId="CommentTextChar">
    <w:name w:val="Comment Text Char"/>
    <w:basedOn w:val="DefaultParagraphFont"/>
    <w:link w:val="CommentText"/>
    <w:uiPriority w:val="99"/>
    <w:rsid w:val="00FA6960"/>
    <w:rPr>
      <w:rFonts w:asciiTheme="minorHAnsi" w:hAnsiTheme="minorHAnsi"/>
      <w:sz w:val="20"/>
      <w:szCs w:val="20"/>
    </w:rPr>
  </w:style>
  <w:style w:type="paragraph" w:styleId="CommentSubject">
    <w:name w:val="annotation subject"/>
    <w:basedOn w:val="CommentText"/>
    <w:next w:val="CommentText"/>
    <w:link w:val="CommentSubjectChar"/>
    <w:uiPriority w:val="99"/>
    <w:semiHidden/>
    <w:unhideWhenUsed/>
    <w:rsid w:val="00FA6960"/>
    <w:rPr>
      <w:b/>
      <w:bCs/>
    </w:rPr>
  </w:style>
  <w:style w:type="character" w:customStyle="1" w:styleId="CommentSubjectChar">
    <w:name w:val="Comment Subject Char"/>
    <w:basedOn w:val="CommentTextChar"/>
    <w:link w:val="CommentSubject"/>
    <w:uiPriority w:val="99"/>
    <w:semiHidden/>
    <w:rsid w:val="00FA6960"/>
    <w:rPr>
      <w:rFonts w:asciiTheme="minorHAnsi" w:hAnsiTheme="minorHAnsi"/>
      <w:b/>
      <w:bCs/>
      <w:sz w:val="20"/>
      <w:szCs w:val="20"/>
    </w:rPr>
  </w:style>
  <w:style w:type="paragraph" w:styleId="Header">
    <w:name w:val="header"/>
    <w:basedOn w:val="Normal"/>
    <w:link w:val="HeaderChar"/>
    <w:uiPriority w:val="99"/>
    <w:unhideWhenUsed/>
    <w:rsid w:val="00046EF6"/>
    <w:pPr>
      <w:tabs>
        <w:tab w:val="center" w:pos="4680"/>
        <w:tab w:val="right" w:pos="9360"/>
      </w:tabs>
      <w:spacing w:after="0" w:line="240" w:lineRule="auto"/>
    </w:pPr>
  </w:style>
  <w:style w:type="character" w:customStyle="1" w:styleId="HeaderChar">
    <w:name w:val="Header Char"/>
    <w:basedOn w:val="DefaultParagraphFont"/>
    <w:link w:val="Header"/>
    <w:uiPriority w:val="99"/>
    <w:rsid w:val="00046EF6"/>
    <w:rPr>
      <w:rFonts w:asciiTheme="minorHAnsi" w:hAnsiTheme="minorHAnsi"/>
    </w:rPr>
  </w:style>
  <w:style w:type="paragraph" w:styleId="Footer">
    <w:name w:val="footer"/>
    <w:basedOn w:val="Normal"/>
    <w:link w:val="FooterChar"/>
    <w:uiPriority w:val="99"/>
    <w:unhideWhenUsed/>
    <w:rsid w:val="00046EF6"/>
    <w:pPr>
      <w:tabs>
        <w:tab w:val="center" w:pos="4680"/>
        <w:tab w:val="right" w:pos="9360"/>
      </w:tabs>
      <w:spacing w:after="0" w:line="240" w:lineRule="auto"/>
    </w:pPr>
  </w:style>
  <w:style w:type="character" w:customStyle="1" w:styleId="FooterChar">
    <w:name w:val="Footer Char"/>
    <w:basedOn w:val="DefaultParagraphFont"/>
    <w:link w:val="Footer"/>
    <w:uiPriority w:val="99"/>
    <w:rsid w:val="00046EF6"/>
    <w:rPr>
      <w:rFonts w:asciiTheme="minorHAnsi" w:hAnsiTheme="minorHAn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https://uscmarshallweb.s3-us-west-2.amazonaws.com/assets/uploads/s1/files/deloitte_arkley_report_final_october_2024_huniotst6b.pdf" TargetMode="External"/><Relationship Id="rId26" Type="http://schemas.openxmlformats.org/officeDocument/2006/relationships/image" Target="media/image10.png"/><Relationship Id="rId3" Type="http://schemas.openxmlformats.org/officeDocument/2006/relationships/customXml" Target="../customXml/item3.xml"/><Relationship Id="rId21" Type="http://schemas.openxmlformats.org/officeDocument/2006/relationships/image" Target="media/image5.png"/><Relationship Id="rId34"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www.marshall.usc.edu/institutes-and-centers/peter-arkley-institute-for-risk-management" TargetMode="External"/><Relationship Id="rId17" Type="http://schemas.openxmlformats.org/officeDocument/2006/relationships/hyperlink" Target="https://uscmarshallweb.s3-us-west-2.amazonaws.com/assets/uploads/s1/files/arkleydeloitte_2023_d5_110423_hjlxosq3yw.pdf" TargetMode="External"/><Relationship Id="rId25" Type="http://schemas.openxmlformats.org/officeDocument/2006/relationships/image" Target="media/image9.jpeg"/><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uscmarshallweb.s3-us-west-2.amazonaws.com/assets/uploads/s1/files/arkleydeloitte_2022_final__hbl2a2i6w2.pdf" TargetMode="External"/><Relationship Id="rId20" Type="http://schemas.openxmlformats.org/officeDocument/2006/relationships/image" Target="media/image4.png"/><Relationship Id="rId29" Type="http://schemas.openxmlformats.org/officeDocument/2006/relationships/image" Target="media/image13.jpe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image" Target="media/image8.png"/><Relationship Id="rId32"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hyperlink" Target="https://uscmarshallweb.s3-us-west-2.amazonaws.com/assets/uploads/s1/files/deloitte_usc_risk_management_program_article_november_2021_1_ha0em93o4g__hbl2bugalh.pdf" TargetMode="External"/><Relationship Id="rId23" Type="http://schemas.openxmlformats.org/officeDocument/2006/relationships/image" Target="media/image7.jpeg"/><Relationship Id="rId28" Type="http://schemas.openxmlformats.org/officeDocument/2006/relationships/image" Target="media/image12.png"/><Relationship Id="rId10" Type="http://schemas.openxmlformats.org/officeDocument/2006/relationships/endnotes" Target="endnotes.xml"/><Relationship Id="rId19" Type="http://schemas.openxmlformats.org/officeDocument/2006/relationships/image" Target="media/image3.jpeg"/><Relationship Id="rId31" Type="http://schemas.openxmlformats.org/officeDocument/2006/relationships/hyperlink" Target="https://www.law.cornell.edu/definitions/index.php?width=840&amp;height=800&amp;iframe=true&amp;def_id=538f8192b686c9db595d536ab570028f&amp;term_occur=999&amp;term_src=Title:17:Chapter:II:Part:229:Subpart:229.100:229.105"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uscmarshallweb.s3-us-west-2.amazonaws.com/assets/uploads/s1/files/deloitte_usc_risk_management_program_article_march_2021_1_ha0elhirhe.pdf" TargetMode="External"/><Relationship Id="rId22" Type="http://schemas.openxmlformats.org/officeDocument/2006/relationships/image" Target="media/image6.png"/><Relationship Id="rId27" Type="http://schemas.openxmlformats.org/officeDocument/2006/relationships/image" Target="media/image11.png"/><Relationship Id="rId30" Type="http://schemas.openxmlformats.org/officeDocument/2006/relationships/hyperlink" Target="https://www.law.cornell.edu/definitions/index.php?width=840&amp;height=800&amp;iframe=true&amp;def_id=538f8192b686c9db595d536ab570028f&amp;term_occur=999&amp;term_src=Title:17:Chapter:II:Part:229:Subpart:229.100:229.105" TargetMode="External"/><Relationship Id="rId8" Type="http://schemas.openxmlformats.org/officeDocument/2006/relationships/webSettings" Target="webSettings.xml"/></Relationships>
</file>

<file path=word/_rels/endnotes.xml.rels><?xml version="1.0" encoding="UTF-8" standalone="yes"?>
<Relationships xmlns="http://schemas.openxmlformats.org/package/2006/relationships"><Relationship Id="rId3" Type="http://schemas.openxmlformats.org/officeDocument/2006/relationships/hyperlink" Target="https://www.akingump.com/en/insights/blogs/trump-executive-order-tracker?bc=1107233" TargetMode="External"/><Relationship Id="rId2" Type="http://schemas.openxmlformats.org/officeDocument/2006/relationships/hyperlink" Target="https://www.mayerbrown.com/en/insights/resource-centers/washington-update/trump-2-executive-order-tracker" TargetMode="External"/><Relationship Id="rId1" Type="http://schemas.openxmlformats.org/officeDocument/2006/relationships/hyperlink" Target="file:///C:\Users\kjaconi\AppData\Local\Microsoft\Windows\INetCache\Content.Outlook\68B1286X\www.deloitte.com\us\about" TargetMode="External"/><Relationship Id="rId6" Type="http://schemas.openxmlformats.org/officeDocument/2006/relationships/hyperlink" Target="mailto:kjaconi@marshall.usc.edu" TargetMode="External"/><Relationship Id="rId5" Type="http://schemas.openxmlformats.org/officeDocument/2006/relationships/hyperlink" Target="mailto:matsolomon@deloitte.com" TargetMode="External"/><Relationship Id="rId4" Type="http://schemas.openxmlformats.org/officeDocument/2006/relationships/hyperlink" Target="mailto:dkingsley@deloitt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4108CF5195AFA4DB6CEDBFEEAA5A589" ma:contentTypeVersion="18" ma:contentTypeDescription="Create a new document." ma:contentTypeScope="" ma:versionID="794e4a87b4db500463d2618cc6a0e154">
  <xsd:schema xmlns:xsd="http://www.w3.org/2001/XMLSchema" xmlns:xs="http://www.w3.org/2001/XMLSchema" xmlns:p="http://schemas.microsoft.com/office/2006/metadata/properties" xmlns:ns2="227cf22c-d429-4ffe-85af-1eef1757d2e9" xmlns:ns3="af2a505f-7670-4974-a6ff-051ab969adbe" targetNamespace="http://schemas.microsoft.com/office/2006/metadata/properties" ma:root="true" ma:fieldsID="78ce72856c76935a0025b04b82b8da4b" ns2:_="" ns3:_="">
    <xsd:import namespace="227cf22c-d429-4ffe-85af-1eef1757d2e9"/>
    <xsd:import namespace="af2a505f-7670-4974-a6ff-051ab969adb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27cf22c-d429-4ffe-85af-1eef1757d2e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4dd8ec79-3e1a-4431-a78a-941e1ec698e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f2a505f-7670-4974-a6ff-051ab969adbe"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4a21e6aa-44ab-4cad-821e-91c3c6d089f0}" ma:internalName="TaxCatchAll" ma:showField="CatchAllData" ma:web="af2a505f-7670-4974-a6ff-051ab969adb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af2a505f-7670-4974-a6ff-051ab969adbe" xsi:nil="true"/>
    <lcf76f155ced4ddcb4097134ff3c332f xmlns="227cf22c-d429-4ffe-85af-1eef1757d2e9">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66ED367-F1B2-47C6-9EA0-C8B1E1706EA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27cf22c-d429-4ffe-85af-1eef1757d2e9"/>
    <ds:schemaRef ds:uri="af2a505f-7670-4974-a6ff-051ab969adb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C125F25-5265-4BFE-A9F8-77C9592CA353}">
  <ds:schemaRefs>
    <ds:schemaRef ds:uri="http://schemas.openxmlformats.org/officeDocument/2006/bibliography"/>
  </ds:schemaRefs>
</ds:datastoreItem>
</file>

<file path=customXml/itemProps3.xml><?xml version="1.0" encoding="utf-8"?>
<ds:datastoreItem xmlns:ds="http://schemas.openxmlformats.org/officeDocument/2006/customXml" ds:itemID="{DECA45E2-C0DC-4BC8-8393-B95EA97ED353}">
  <ds:schemaRefs>
    <ds:schemaRef ds:uri="http://schemas.microsoft.com/office/2006/metadata/properties"/>
    <ds:schemaRef ds:uri="http://schemas.microsoft.com/office/infopath/2007/PartnerControls"/>
    <ds:schemaRef ds:uri="af2a505f-7670-4974-a6ff-051ab969adbe"/>
    <ds:schemaRef ds:uri="227cf22c-d429-4ffe-85af-1eef1757d2e9"/>
  </ds:schemaRefs>
</ds:datastoreItem>
</file>

<file path=customXml/itemProps4.xml><?xml version="1.0" encoding="utf-8"?>
<ds:datastoreItem xmlns:ds="http://schemas.openxmlformats.org/officeDocument/2006/customXml" ds:itemID="{A8AD4943-CBBC-4BA6-84CB-CE7D2BD1506B}">
  <ds:schemaRefs>
    <ds:schemaRef ds:uri="http://schemas.microsoft.com/sharepoint/v3/contenttype/forms"/>
  </ds:schemaRefs>
</ds:datastoreItem>
</file>

<file path=docMetadata/LabelInfo.xml><?xml version="1.0" encoding="utf-8"?>
<clbl:labelList xmlns:clbl="http://schemas.microsoft.com/office/2020/mipLabelMetadata">
  <clbl:label id="{ea60d57e-af5b-4752-ac57-3e4f28ca11dc}" enabled="1" method="Standard" siteId="{36da45f1-dd2c-4d1f-af13-5abe46b99921}" removed="0"/>
</clbl:labelList>
</file>

<file path=docProps/app.xml><?xml version="1.0" encoding="utf-8"?>
<Properties xmlns="http://schemas.openxmlformats.org/officeDocument/2006/extended-properties" xmlns:vt="http://schemas.openxmlformats.org/officeDocument/2006/docPropsVTypes">
  <Template>Normal.dotm</Template>
  <TotalTime>1</TotalTime>
  <Pages>12</Pages>
  <Words>2417</Words>
  <Characters>13779</Characters>
  <Application>Microsoft Office Word</Application>
  <DocSecurity>10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USC Marshall School of Business</Company>
  <LinksUpToDate>false</LinksUpToDate>
  <CharactersWithSpaces>16164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Jaconi, Kristen</dc:creator>
  <cp:keywords/>
  <dc:description/>
  <cp:lastModifiedBy>Nelson, Tyler</cp:lastModifiedBy>
  <cp:revision>2</cp:revision>
  <cp:lastPrinted>2025-10-25T17:52:00Z</cp:lastPrinted>
  <dcterms:created xsi:type="dcterms:W3CDTF">2025-10-31T15:18:00Z</dcterms:created>
  <dcterms:modified xsi:type="dcterms:W3CDTF">2025-10-31T15:18:00Z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0x010100B4108CF5195AFA4DB6CEDBFEEAA5A589</vt:lpwstr>
  </property>
  <property fmtid="{D5CDD505-2E9C-101B-9397-08002B2CF9AE}" pid="3" name="MediaServiceImageTags">
    <vt:lpwstr/>
  </property>
</Properties>
</file>